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12CDA" w14:textId="77777777" w:rsidR="001A0B67" w:rsidRDefault="001A0B67" w:rsidP="001A0B67"/>
    <w:p w14:paraId="55124FF5" w14:textId="77777777" w:rsidR="001A0B67" w:rsidRDefault="001A0B67" w:rsidP="001A0B67">
      <w:pPr>
        <w:jc w:val="right"/>
      </w:pPr>
      <w:r>
        <w:tab/>
      </w:r>
      <w:r>
        <w:tab/>
      </w:r>
      <w:r>
        <w:tab/>
      </w:r>
      <w:r>
        <w:tab/>
      </w:r>
      <w:r>
        <w:tab/>
      </w:r>
      <w:r>
        <w:tab/>
      </w:r>
      <w:r>
        <w:tab/>
      </w:r>
      <w:r>
        <w:tab/>
      </w:r>
      <w:r>
        <w:tab/>
        <w:t>Data Management Committee</w:t>
      </w:r>
    </w:p>
    <w:p w14:paraId="3A923CA7" w14:textId="77777777" w:rsidR="001A0B67" w:rsidRDefault="001A0B67" w:rsidP="001A0B67">
      <w:pPr>
        <w:jc w:val="right"/>
      </w:pPr>
      <w:r>
        <w:t>Data Usage Guideline Document</w:t>
      </w:r>
    </w:p>
    <w:p w14:paraId="172D938F" w14:textId="77777777" w:rsidR="001A0B67" w:rsidRDefault="001A0B67" w:rsidP="001A0B67">
      <w:pPr>
        <w:jc w:val="right"/>
      </w:pPr>
      <w:r>
        <w:t>Document: #1025</w:t>
      </w:r>
    </w:p>
    <w:p w14:paraId="4A8293F7" w14:textId="77777777" w:rsidR="001A0B67" w:rsidRDefault="001A0B67" w:rsidP="001A0B67">
      <w:pPr>
        <w:jc w:val="right"/>
      </w:pPr>
    </w:p>
    <w:p w14:paraId="0E733B5B" w14:textId="77777777" w:rsidR="001A0B67" w:rsidRDefault="001A0B67" w:rsidP="001A0B67">
      <w:pPr>
        <w:jc w:val="right"/>
      </w:pPr>
    </w:p>
    <w:p w14:paraId="588FD73D" w14:textId="77777777" w:rsidR="00747CB3" w:rsidRDefault="001A0B67" w:rsidP="001A0B67">
      <w:pPr>
        <w:jc w:val="center"/>
        <w:rPr>
          <w:b/>
          <w:sz w:val="28"/>
        </w:rPr>
      </w:pPr>
      <w:r>
        <w:rPr>
          <w:b/>
          <w:sz w:val="28"/>
        </w:rPr>
        <w:t>Data Usage Guideline - Usage of</w:t>
      </w:r>
      <w:r w:rsidRPr="00533BAD">
        <w:rPr>
          <w:b/>
          <w:sz w:val="28"/>
        </w:rPr>
        <w:t xml:space="preserve"> </w:t>
      </w:r>
      <w:r w:rsidR="00747CB3">
        <w:rPr>
          <w:b/>
          <w:sz w:val="28"/>
        </w:rPr>
        <w:t>Departmental / Unit / Local Data</w:t>
      </w:r>
      <w:r w:rsidRPr="00533BAD">
        <w:rPr>
          <w:b/>
          <w:sz w:val="28"/>
        </w:rPr>
        <w:t xml:space="preserve"> </w:t>
      </w:r>
    </w:p>
    <w:p w14:paraId="75B8D69D" w14:textId="645DCF4F" w:rsidR="001A0B67" w:rsidRPr="00533BAD" w:rsidRDefault="00747CB3" w:rsidP="00747CB3">
      <w:pPr>
        <w:jc w:val="center"/>
        <w:rPr>
          <w:b/>
          <w:sz w:val="28"/>
        </w:rPr>
      </w:pPr>
      <w:proofErr w:type="gramStart"/>
      <w:r>
        <w:rPr>
          <w:b/>
          <w:sz w:val="28"/>
        </w:rPr>
        <w:t>o</w:t>
      </w:r>
      <w:r w:rsidR="001A0B67" w:rsidRPr="00533BAD">
        <w:rPr>
          <w:b/>
          <w:sz w:val="28"/>
        </w:rPr>
        <w:t>n</w:t>
      </w:r>
      <w:proofErr w:type="gramEnd"/>
      <w:r w:rsidR="001A0B67" w:rsidRPr="00533BAD">
        <w:rPr>
          <w:b/>
          <w:sz w:val="28"/>
        </w:rPr>
        <w:t xml:space="preserve"> </w:t>
      </w:r>
      <w:r w:rsidR="001A0B67">
        <w:rPr>
          <w:b/>
          <w:sz w:val="28"/>
        </w:rPr>
        <w:t xml:space="preserve">UW </w:t>
      </w:r>
      <w:r w:rsidR="001A0B67" w:rsidRPr="00533BAD">
        <w:rPr>
          <w:b/>
          <w:sz w:val="28"/>
        </w:rPr>
        <w:t>Tableau Server</w:t>
      </w:r>
    </w:p>
    <w:p w14:paraId="4F0E4CF4" w14:textId="77777777" w:rsidR="001A0B67" w:rsidRDefault="001A0B67" w:rsidP="001A0B67">
      <w:pPr>
        <w:rPr>
          <w:b/>
        </w:rPr>
      </w:pPr>
    </w:p>
    <w:p w14:paraId="72AB1982" w14:textId="77777777" w:rsidR="001A0B67" w:rsidRPr="00460C2A" w:rsidRDefault="001A0B67" w:rsidP="001A0B67">
      <w:pPr>
        <w:rPr>
          <w:b/>
        </w:rPr>
      </w:pPr>
      <w:r w:rsidRPr="00460C2A">
        <w:rPr>
          <w:b/>
        </w:rPr>
        <w:t>Purpose</w:t>
      </w:r>
    </w:p>
    <w:p w14:paraId="76409269" w14:textId="576EA34A" w:rsidR="00747CB3" w:rsidRDefault="001A0B67" w:rsidP="001A0B67">
      <w:r>
        <w:t xml:space="preserve">The purpose of this document is to formalize agreement for publishing </w:t>
      </w:r>
      <w:r w:rsidR="00747CB3">
        <w:t xml:space="preserve">institutional </w:t>
      </w:r>
      <w:r>
        <w:t xml:space="preserve">data from </w:t>
      </w:r>
      <w:r w:rsidR="00747CB3">
        <w:t>departmental, unit or local data</w:t>
      </w:r>
      <w:r w:rsidR="00960B88">
        <w:rPr>
          <w:rStyle w:val="FootnoteReference"/>
        </w:rPr>
        <w:footnoteReference w:id="1"/>
      </w:r>
      <w:r w:rsidR="00747CB3">
        <w:t xml:space="preserve"> sources </w:t>
      </w:r>
      <w:r>
        <w:t xml:space="preserve">to the Tableau Server installation at the University of Washington. </w:t>
      </w:r>
    </w:p>
    <w:p w14:paraId="2B7ECF9D" w14:textId="77777777" w:rsidR="00747CB3" w:rsidRDefault="00747CB3" w:rsidP="001A0B67"/>
    <w:p w14:paraId="28FE8D82" w14:textId="21799064" w:rsidR="001A0B67" w:rsidRDefault="001A0B67" w:rsidP="001A0B67">
      <w:r>
        <w:t xml:space="preserve">Academic and administrative units across UW create and use visualizations </w:t>
      </w:r>
      <w:r w:rsidR="00747CB3">
        <w:t xml:space="preserve">in Tableau </w:t>
      </w:r>
      <w:r>
        <w:t>to aid in data analysis, exploration and decision-mak</w:t>
      </w:r>
      <w:r w:rsidR="00747CB3">
        <w:t>ing. For this, units may use data from systems of record</w:t>
      </w:r>
      <w:r w:rsidR="00960B88">
        <w:t xml:space="preserve"> such as administrative business systems, </w:t>
      </w:r>
      <w:r w:rsidR="008070C4">
        <w:t xml:space="preserve">from </w:t>
      </w:r>
      <w:r w:rsidR="00747CB3">
        <w:t xml:space="preserve">the Enterprise Data Warehouse (EDW), or </w:t>
      </w:r>
      <w:r w:rsidR="008070C4">
        <w:t xml:space="preserve">from </w:t>
      </w:r>
      <w:r w:rsidR="00747CB3">
        <w:t xml:space="preserve">institutional data from their own departmental, unit or local data repositories. </w:t>
      </w:r>
      <w:r>
        <w:t xml:space="preserve">This agreement is to set a guideline that would govern the usage, storing and sharing of </w:t>
      </w:r>
      <w:r w:rsidR="00747CB3">
        <w:t xml:space="preserve">institutional departmental, unit or local data </w:t>
      </w:r>
      <w:r>
        <w:t>to build and share visualizations using the UW Tableau Server.</w:t>
      </w:r>
    </w:p>
    <w:p w14:paraId="76D1DD70" w14:textId="77777777" w:rsidR="000C33EE" w:rsidRDefault="000C33EE" w:rsidP="001A0B67"/>
    <w:p w14:paraId="6C28FF61" w14:textId="452C5435" w:rsidR="000C33EE" w:rsidRDefault="000C33EE" w:rsidP="001A0B67">
      <w:r>
        <w:t>Departmental, unit and local data are subject to the same policies and procedures which govern the use of institutional data</w:t>
      </w:r>
      <w:r>
        <w:rPr>
          <w:rStyle w:val="FootnoteReference"/>
        </w:rPr>
        <w:footnoteReference w:id="2"/>
      </w:r>
      <w:r>
        <w:t xml:space="preserve">. This includes the classification of information according to Administrative Policy Statement (APS) </w:t>
      </w:r>
      <w:r w:rsidR="00551CEE">
        <w:t>2.2 Sections 4 and 5, and APS 2.4</w:t>
      </w:r>
      <w:r w:rsidR="00551CEE">
        <w:rPr>
          <w:rStyle w:val="FootnoteReference"/>
        </w:rPr>
        <w:footnoteReference w:id="3"/>
      </w:r>
      <w:r w:rsidR="00551CEE">
        <w:t>.</w:t>
      </w:r>
    </w:p>
    <w:p w14:paraId="488782AD" w14:textId="77777777" w:rsidR="001A0B67" w:rsidRDefault="001A0B67" w:rsidP="001A0B67">
      <w:pPr>
        <w:rPr>
          <w:b/>
        </w:rPr>
      </w:pPr>
    </w:p>
    <w:p w14:paraId="3605C5D7" w14:textId="77777777" w:rsidR="001A0B67" w:rsidRPr="00460C2A" w:rsidRDefault="001A0B67" w:rsidP="001A0B67">
      <w:pPr>
        <w:rPr>
          <w:b/>
        </w:rPr>
      </w:pPr>
      <w:r w:rsidRPr="00460C2A">
        <w:rPr>
          <w:b/>
        </w:rPr>
        <w:t>Overview / Problem Statement</w:t>
      </w:r>
    </w:p>
    <w:p w14:paraId="26C95F8F" w14:textId="3067BAA1" w:rsidR="00004593" w:rsidRDefault="00004593" w:rsidP="00004593">
      <w:r>
        <w:t>Tableau Business Intelligence (BI)</w:t>
      </w:r>
      <w:r w:rsidR="001A0B67" w:rsidRPr="003D273F">
        <w:t xml:space="preserve"> products hold great promise for </w:t>
      </w:r>
      <w:r>
        <w:t>the UW in facilitating decision-</w:t>
      </w:r>
      <w:r w:rsidR="001A0B67" w:rsidRPr="003D273F">
        <w:t xml:space="preserve">making with intuitive end user features and advanced data visualization capabilities. </w:t>
      </w:r>
      <w:r w:rsidR="001A0B67">
        <w:t xml:space="preserve">Once visualizations are published to Tableau Server, the data that is used to build the visualizations are deployed to the server as extracts. These extracts are self-contained data sources that can be not only used to build visualizations, but </w:t>
      </w:r>
      <w:r>
        <w:t xml:space="preserve">that </w:t>
      </w:r>
      <w:r w:rsidR="001A0B67">
        <w:t xml:space="preserve">can </w:t>
      </w:r>
      <w:r>
        <w:t xml:space="preserve">also </w:t>
      </w:r>
      <w:r w:rsidR="001A0B67">
        <w:t>be shared with and used by other members of the same group owning the extract to join with other data sources</w:t>
      </w:r>
      <w:r>
        <w:t>,</w:t>
      </w:r>
      <w:r w:rsidR="001A0B67">
        <w:t xml:space="preserve"> and/or be downloaded (with correct server permissions) lo</w:t>
      </w:r>
      <w:r w:rsidR="004253E5">
        <w:t>cally</w:t>
      </w:r>
      <w:r w:rsidR="00960B88">
        <w:t xml:space="preserve">. </w:t>
      </w:r>
      <w:r w:rsidR="008070C4">
        <w:t xml:space="preserve">Access and security controls for </w:t>
      </w:r>
      <w:r w:rsidR="00352394">
        <w:t xml:space="preserve">local data </w:t>
      </w:r>
      <w:r w:rsidR="008070C4">
        <w:t>may differ from those applied in administrative business systems or the EDW.</w:t>
      </w:r>
      <w:r>
        <w:t xml:space="preserve">  </w:t>
      </w:r>
    </w:p>
    <w:p w14:paraId="1683AB1D" w14:textId="43184D09" w:rsidR="001A0B67" w:rsidRDefault="001A0B67" w:rsidP="001A0B67"/>
    <w:p w14:paraId="6F5FF13D" w14:textId="404EF938" w:rsidR="00004593" w:rsidRDefault="001A0B67" w:rsidP="001A0B67">
      <w:r>
        <w:t>Currently, the use of Tableau Server is limited to the use of EDW data</w:t>
      </w:r>
      <w:r w:rsidR="00004593">
        <w:t>. This prevents grou</w:t>
      </w:r>
      <w:r w:rsidR="008070C4">
        <w:t xml:space="preserve">ps which rely on institutional departmental local </w:t>
      </w:r>
      <w:r w:rsidR="00004593">
        <w:t xml:space="preserve">data from leveraging UW’s investment in Tableau. </w:t>
      </w:r>
      <w:r w:rsidR="008070C4">
        <w:t xml:space="preserve">To support the use of departmental, unit or local data </w:t>
      </w:r>
      <w:r w:rsidR="00352733">
        <w:t>for legitimate business needs</w:t>
      </w:r>
      <w:r w:rsidR="008070C4">
        <w:t>, the following proposes measures and controls for</w:t>
      </w:r>
      <w:r w:rsidR="00004593">
        <w:t xml:space="preserve"> hosting of </w:t>
      </w:r>
      <w:r w:rsidR="008070C4">
        <w:t>local</w:t>
      </w:r>
      <w:r w:rsidR="00004593">
        <w:t xml:space="preserve"> data sources on Tableau Server in compliance with the UW Institutional Data Management Standards.</w:t>
      </w:r>
    </w:p>
    <w:p w14:paraId="51B0AF41" w14:textId="77777777" w:rsidR="00004593" w:rsidRDefault="00004593" w:rsidP="001A0B67"/>
    <w:p w14:paraId="2B00A06E" w14:textId="48EAC6CD" w:rsidR="001A0B67" w:rsidRDefault="001A0B67" w:rsidP="001A0B67">
      <w:r>
        <w:t>The benefit</w:t>
      </w:r>
      <w:r w:rsidR="00004593">
        <w:t>s</w:t>
      </w:r>
      <w:r>
        <w:t xml:space="preserve"> of allowing </w:t>
      </w:r>
      <w:r w:rsidR="00F92A48">
        <w:t xml:space="preserve">departmental, unit or local data repositories </w:t>
      </w:r>
      <w:r>
        <w:t>to be used</w:t>
      </w:r>
      <w:r w:rsidR="00004593">
        <w:t xml:space="preserve"> by Tableau users include:</w:t>
      </w:r>
    </w:p>
    <w:p w14:paraId="52176790" w14:textId="2A0FED28" w:rsidR="001A0B67" w:rsidRDefault="00004593" w:rsidP="001A0B67">
      <w:pPr>
        <w:pStyle w:val="ListParagraph"/>
        <w:numPr>
          <w:ilvl w:val="0"/>
          <w:numId w:val="8"/>
        </w:numPr>
        <w:spacing w:after="0" w:line="240" w:lineRule="auto"/>
      </w:pPr>
      <w:r>
        <w:lastRenderedPageBreak/>
        <w:t>To e</w:t>
      </w:r>
      <w:r w:rsidR="001A0B67">
        <w:t>ncourage and expand data driven culture at UW</w:t>
      </w:r>
    </w:p>
    <w:p w14:paraId="66ECE3B7" w14:textId="73EDF68B" w:rsidR="001A0B67" w:rsidRDefault="00004593" w:rsidP="001A0B67">
      <w:pPr>
        <w:pStyle w:val="ListParagraph"/>
        <w:numPr>
          <w:ilvl w:val="0"/>
          <w:numId w:val="8"/>
        </w:numPr>
        <w:spacing w:after="0" w:line="240" w:lineRule="auto"/>
      </w:pPr>
      <w:r>
        <w:t>To e</w:t>
      </w:r>
      <w:r w:rsidR="001A0B67">
        <w:t>nable building and sharing of visualizations within and across units</w:t>
      </w:r>
    </w:p>
    <w:p w14:paraId="28E8CC9B" w14:textId="30C12F1A" w:rsidR="001A0B67" w:rsidRDefault="00004593" w:rsidP="001A0B67">
      <w:pPr>
        <w:pStyle w:val="ListParagraph"/>
        <w:numPr>
          <w:ilvl w:val="0"/>
          <w:numId w:val="8"/>
        </w:numPr>
        <w:spacing w:after="0" w:line="240" w:lineRule="auto"/>
      </w:pPr>
      <w:r>
        <w:t>To p</w:t>
      </w:r>
      <w:r w:rsidR="001A0B67">
        <w:t xml:space="preserve">rovide transparency about high-value </w:t>
      </w:r>
      <w:r w:rsidR="00F92A48">
        <w:t xml:space="preserve">departmental, unit or local data repositories </w:t>
      </w:r>
      <w:r w:rsidR="001A0B67">
        <w:t>and its usage, to help inform the future expansion of EDW</w:t>
      </w:r>
    </w:p>
    <w:p w14:paraId="05FE2A15" w14:textId="77777777" w:rsidR="001A0B67" w:rsidRDefault="001A0B67" w:rsidP="001A0B67">
      <w:pPr>
        <w:pStyle w:val="ListParagraph"/>
        <w:spacing w:after="0" w:line="240" w:lineRule="auto"/>
      </w:pPr>
    </w:p>
    <w:p w14:paraId="7A06E790" w14:textId="77777777" w:rsidR="001A0B67" w:rsidRDefault="001A0B67" w:rsidP="001A0B67">
      <w:pPr>
        <w:rPr>
          <w:b/>
        </w:rPr>
      </w:pPr>
      <w:r w:rsidRPr="00460C2A">
        <w:rPr>
          <w:b/>
        </w:rPr>
        <w:t>Observations, Recommendations and Agreements</w:t>
      </w:r>
    </w:p>
    <w:p w14:paraId="5914D9D6" w14:textId="3357FC6E" w:rsidR="001A0B67" w:rsidRPr="00D01520" w:rsidRDefault="00352733" w:rsidP="001A0B67">
      <w:r>
        <w:t xml:space="preserve">UW-Information Technology </w:t>
      </w:r>
      <w:r w:rsidR="004253E5">
        <w:t xml:space="preserve">(UW-IT) </w:t>
      </w:r>
      <w:r>
        <w:t xml:space="preserve">proposes </w:t>
      </w:r>
      <w:r w:rsidR="001A0B67" w:rsidRPr="00D01520">
        <w:t xml:space="preserve">to create a program that will </w:t>
      </w:r>
      <w:r w:rsidR="004253E5">
        <w:t>host</w:t>
      </w:r>
      <w:r w:rsidR="00F92A48">
        <w:t xml:space="preserve"> departmental, unit or local data repositories </w:t>
      </w:r>
      <w:r>
        <w:t xml:space="preserve">for use in Tableau </w:t>
      </w:r>
      <w:r w:rsidR="004253E5">
        <w:t xml:space="preserve">based on the following. </w:t>
      </w:r>
    </w:p>
    <w:p w14:paraId="0FF5BD23" w14:textId="77777777" w:rsidR="001A0B67" w:rsidRDefault="001A0B67" w:rsidP="001A0B67">
      <w:pPr>
        <w:rPr>
          <w:b/>
        </w:rPr>
      </w:pPr>
      <w:r>
        <w:rPr>
          <w:b/>
        </w:rPr>
        <w:t>Security</w:t>
      </w:r>
    </w:p>
    <w:p w14:paraId="6165ABBF" w14:textId="77777777" w:rsidR="001A0B67" w:rsidRDefault="001A0B67" w:rsidP="001A0B67">
      <w:pPr>
        <w:pStyle w:val="ListParagraph"/>
        <w:numPr>
          <w:ilvl w:val="0"/>
          <w:numId w:val="7"/>
        </w:numPr>
        <w:spacing w:after="0" w:line="240" w:lineRule="auto"/>
      </w:pPr>
      <w:r>
        <w:t>Establish and manage a secured environment to host data extracts on Tableau Server</w:t>
      </w:r>
    </w:p>
    <w:p w14:paraId="147ABBE5" w14:textId="77777777" w:rsidR="001A0B67" w:rsidRPr="00CD17CD" w:rsidRDefault="001A0B67" w:rsidP="001A0B67">
      <w:pPr>
        <w:pStyle w:val="ListParagraph"/>
        <w:numPr>
          <w:ilvl w:val="0"/>
          <w:numId w:val="7"/>
        </w:numPr>
        <w:spacing w:after="0" w:line="240" w:lineRule="auto"/>
      </w:pPr>
      <w:r>
        <w:t>Leverage Tableau Server permissions to authorize server users to publish/access/share data extracts</w:t>
      </w:r>
    </w:p>
    <w:p w14:paraId="4386FD2F" w14:textId="61C4A1E8" w:rsidR="001A0B67" w:rsidRPr="00821621" w:rsidRDefault="001A0B67" w:rsidP="001A0B67">
      <w:pPr>
        <w:pStyle w:val="ListParagraph"/>
        <w:numPr>
          <w:ilvl w:val="0"/>
          <w:numId w:val="6"/>
        </w:numPr>
        <w:spacing w:after="0" w:line="240" w:lineRule="auto"/>
        <w:rPr>
          <w:b/>
        </w:rPr>
      </w:pPr>
      <w:r>
        <w:t xml:space="preserve">Appoint a single-person on the business side to be a point-person </w:t>
      </w:r>
      <w:r w:rsidR="00DB229D">
        <w:t>and “owner” of the data extract</w:t>
      </w:r>
    </w:p>
    <w:p w14:paraId="2CABC85F" w14:textId="62069A8A" w:rsidR="001A0B67" w:rsidRPr="002775B0" w:rsidRDefault="001A0B67" w:rsidP="001A0B67">
      <w:pPr>
        <w:pStyle w:val="ListParagraph"/>
        <w:numPr>
          <w:ilvl w:val="0"/>
          <w:numId w:val="6"/>
        </w:numPr>
        <w:spacing w:after="0" w:line="240" w:lineRule="auto"/>
      </w:pPr>
      <w:r w:rsidRPr="00821621">
        <w:t>Ensure that data extracts are accessed and used by authorized</w:t>
      </w:r>
      <w:r>
        <w:t xml:space="preserve"> members of the Tableau Server community with agreement and support of the extract owner</w:t>
      </w:r>
    </w:p>
    <w:p w14:paraId="5532A540" w14:textId="77777777" w:rsidR="001A0B67" w:rsidRPr="002775B0" w:rsidRDefault="001A0B67" w:rsidP="001A0B67">
      <w:pPr>
        <w:rPr>
          <w:b/>
        </w:rPr>
      </w:pPr>
      <w:r w:rsidRPr="002775B0">
        <w:rPr>
          <w:b/>
        </w:rPr>
        <w:t>Publishing</w:t>
      </w:r>
    </w:p>
    <w:p w14:paraId="12FA5FB2" w14:textId="77777777" w:rsidR="001A0B67" w:rsidRDefault="001A0B67" w:rsidP="001A0B67">
      <w:pPr>
        <w:pStyle w:val="ListParagraph"/>
        <w:numPr>
          <w:ilvl w:val="0"/>
          <w:numId w:val="6"/>
        </w:numPr>
        <w:spacing w:after="0" w:line="240" w:lineRule="auto"/>
      </w:pPr>
      <w:r>
        <w:t>Create and maintain a list of Tableau Publishers that are trusted by data custodians to publish data extracts</w:t>
      </w:r>
    </w:p>
    <w:p w14:paraId="2A35E22B" w14:textId="77777777" w:rsidR="001A0B67" w:rsidRDefault="001A0B67" w:rsidP="001A0B67">
      <w:pPr>
        <w:pStyle w:val="ListParagraph"/>
        <w:numPr>
          <w:ilvl w:val="0"/>
          <w:numId w:val="6"/>
        </w:numPr>
        <w:spacing w:after="0" w:line="240" w:lineRule="auto"/>
      </w:pPr>
      <w:r>
        <w:t>Assign point-person to work with UW-IT to support maintenance and availability of data extracts</w:t>
      </w:r>
    </w:p>
    <w:p w14:paraId="70324F6E" w14:textId="0636F8FE" w:rsidR="001A0B67" w:rsidRDefault="001A0B67" w:rsidP="001A0B67">
      <w:pPr>
        <w:pStyle w:val="ListParagraph"/>
        <w:numPr>
          <w:ilvl w:val="0"/>
          <w:numId w:val="6"/>
        </w:numPr>
        <w:spacing w:after="0" w:line="240" w:lineRule="auto"/>
      </w:pPr>
      <w:r>
        <w:t>Allow individual groups to publish visualizations and data extracts that supp</w:t>
      </w:r>
      <w:r w:rsidR="004253E5">
        <w:t xml:space="preserve">ort their local departmental analytics </w:t>
      </w:r>
      <w:r>
        <w:t>initiatives only</w:t>
      </w:r>
    </w:p>
    <w:p w14:paraId="551E178F" w14:textId="55E7FDD7" w:rsidR="001A0B67" w:rsidRPr="004253E5" w:rsidRDefault="001A0B67" w:rsidP="001A0B67">
      <w:pPr>
        <w:pStyle w:val="ListParagraph"/>
        <w:numPr>
          <w:ilvl w:val="0"/>
          <w:numId w:val="6"/>
        </w:numPr>
        <w:spacing w:after="0" w:line="240" w:lineRule="auto"/>
      </w:pPr>
      <w:r w:rsidRPr="004253E5">
        <w:t xml:space="preserve">Discourage use of data extracts </w:t>
      </w:r>
      <w:r w:rsidR="00E92F5C" w:rsidRPr="004253E5">
        <w:t xml:space="preserve">beyond the scope of </w:t>
      </w:r>
      <w:r w:rsidR="00397B96" w:rsidRPr="004253E5">
        <w:t>unit’s</w:t>
      </w:r>
      <w:r w:rsidR="00E92F5C" w:rsidRPr="004253E5">
        <w:t xml:space="preserve"> own specific needs</w:t>
      </w:r>
    </w:p>
    <w:p w14:paraId="7E7AB8AA" w14:textId="77777777" w:rsidR="001A0B67" w:rsidRPr="00CA45BD" w:rsidRDefault="001A0B67" w:rsidP="001A0B67">
      <w:pPr>
        <w:rPr>
          <w:b/>
        </w:rPr>
      </w:pPr>
      <w:r w:rsidRPr="00CA45BD">
        <w:rPr>
          <w:b/>
        </w:rPr>
        <w:t>Data</w:t>
      </w:r>
    </w:p>
    <w:p w14:paraId="450B4B4B" w14:textId="4C2EB2BA" w:rsidR="001A0B67" w:rsidRPr="00CA45BD" w:rsidRDefault="001A0B67" w:rsidP="001A0B67">
      <w:pPr>
        <w:pStyle w:val="ListParagraph"/>
        <w:numPr>
          <w:ilvl w:val="0"/>
          <w:numId w:val="6"/>
        </w:numPr>
        <w:spacing w:after="0" w:line="240" w:lineRule="auto"/>
        <w:rPr>
          <w:b/>
        </w:rPr>
      </w:pPr>
      <w:r w:rsidRPr="00CA45BD">
        <w:rPr>
          <w:b/>
        </w:rPr>
        <w:t xml:space="preserve">Size: </w:t>
      </w:r>
      <w:r w:rsidRPr="00CA45BD">
        <w:t>Limit the size of extracts to the minimum</w:t>
      </w:r>
      <w:r w:rsidR="004253E5">
        <w:t xml:space="preserve"> amount of data required to support the visualization</w:t>
      </w:r>
      <w:r w:rsidRPr="00CA45BD">
        <w:rPr>
          <w:b/>
        </w:rPr>
        <w:t xml:space="preserve">. </w:t>
      </w:r>
      <w:r w:rsidRPr="00CA45BD">
        <w:t>Data extracts are not replacement for EDW, as such, their size should be limited to provide only data necessary to satisfy the requirements of the dashboard</w:t>
      </w:r>
      <w:r w:rsidR="00E92F5C" w:rsidRPr="00CA45BD">
        <w:t xml:space="preserve"> </w:t>
      </w:r>
      <w:r w:rsidR="00E92F5C" w:rsidRPr="004253E5">
        <w:t>(or suite of dashboards)</w:t>
      </w:r>
      <w:r w:rsidRPr="00CA45BD">
        <w:t xml:space="preserve"> they support</w:t>
      </w:r>
    </w:p>
    <w:p w14:paraId="5D54478C" w14:textId="368B588C" w:rsidR="001A0B67" w:rsidRPr="00CA45BD" w:rsidRDefault="001A0B67" w:rsidP="001A0B67">
      <w:pPr>
        <w:pStyle w:val="ListParagraph"/>
        <w:numPr>
          <w:ilvl w:val="0"/>
          <w:numId w:val="6"/>
        </w:numPr>
        <w:spacing w:after="0" w:line="240" w:lineRule="auto"/>
      </w:pPr>
      <w:r w:rsidRPr="00CA45BD">
        <w:rPr>
          <w:b/>
        </w:rPr>
        <w:t xml:space="preserve">Type: </w:t>
      </w:r>
      <w:r w:rsidRPr="00CA45BD">
        <w:t xml:space="preserve">Support </w:t>
      </w:r>
      <w:r w:rsidR="004253E5">
        <w:t xml:space="preserve">a </w:t>
      </w:r>
      <w:r w:rsidRPr="00CA45BD">
        <w:t xml:space="preserve">multitude of data extracts created from (but not limited to): </w:t>
      </w:r>
      <w:r w:rsidR="00E92F5C" w:rsidRPr="00CA45BD">
        <w:t xml:space="preserve">MSSQL, </w:t>
      </w:r>
      <w:r w:rsidRPr="00CA45BD">
        <w:t>Excel, Access, MySQL, Text Files, Google Analytics, Oracle</w:t>
      </w:r>
    </w:p>
    <w:p w14:paraId="0549B4C2" w14:textId="77777777" w:rsidR="001A0B67" w:rsidRPr="00CA45BD" w:rsidRDefault="001A0B67" w:rsidP="001A0B67">
      <w:pPr>
        <w:pStyle w:val="ListParagraph"/>
        <w:numPr>
          <w:ilvl w:val="0"/>
          <w:numId w:val="6"/>
        </w:numPr>
        <w:spacing w:after="0" w:line="240" w:lineRule="auto"/>
        <w:rPr>
          <w:b/>
        </w:rPr>
      </w:pPr>
      <w:r w:rsidRPr="00CA45BD">
        <w:rPr>
          <w:b/>
        </w:rPr>
        <w:t xml:space="preserve">Storage: </w:t>
      </w:r>
      <w:r w:rsidRPr="00CA45BD">
        <w:t>Manage utilization of server storage resources.</w:t>
      </w:r>
      <w:r w:rsidRPr="00CA45BD">
        <w:rPr>
          <w:b/>
        </w:rPr>
        <w:t xml:space="preserve"> </w:t>
      </w:r>
      <w:r w:rsidRPr="00CA45BD">
        <w:t>Data extracts are created by selecting data from the source database and stored as physical files on Tableau Server using Tableau’s proprietary file format.  Storing extracts on Tableau server will consume machine resources, which will be subject to maintenance policies established by administrators of the server</w:t>
      </w:r>
    </w:p>
    <w:p w14:paraId="77A8235B" w14:textId="77777777" w:rsidR="001A0B67" w:rsidRPr="00CA45BD" w:rsidRDefault="001A0B67" w:rsidP="001A0B67">
      <w:pPr>
        <w:pStyle w:val="ListParagraph"/>
        <w:numPr>
          <w:ilvl w:val="0"/>
          <w:numId w:val="6"/>
        </w:numPr>
        <w:spacing w:after="0" w:line="240" w:lineRule="auto"/>
        <w:rPr>
          <w:b/>
        </w:rPr>
      </w:pPr>
      <w:r w:rsidRPr="00CA45BD">
        <w:rPr>
          <w:b/>
        </w:rPr>
        <w:t xml:space="preserve">Retention: </w:t>
      </w:r>
      <w:r w:rsidRPr="00CA45BD">
        <w:t>Data extracts</w:t>
      </w:r>
      <w:r w:rsidRPr="00CA45BD">
        <w:rPr>
          <w:b/>
        </w:rPr>
        <w:t xml:space="preserve"> </w:t>
      </w:r>
      <w:r w:rsidRPr="00CA45BD">
        <w:t>provide only the data necessary to satisfy the requirements of the dashboard they are supporting, therefore, any requirements to store more data beyond the needs of visualizations that are being created will be discouraged.  Unused and outdated data extracts will be deleted from the server</w:t>
      </w:r>
    </w:p>
    <w:p w14:paraId="086152B2" w14:textId="33D4462C" w:rsidR="001A0B67" w:rsidRPr="004253E5" w:rsidRDefault="00397B96" w:rsidP="00C91F71">
      <w:pPr>
        <w:pStyle w:val="ListParagraph"/>
        <w:numPr>
          <w:ilvl w:val="0"/>
          <w:numId w:val="6"/>
        </w:numPr>
        <w:spacing w:after="0" w:line="240" w:lineRule="auto"/>
        <w:rPr>
          <w:b/>
        </w:rPr>
      </w:pPr>
      <w:r w:rsidRPr="004253E5">
        <w:rPr>
          <w:b/>
        </w:rPr>
        <w:t>Refresh Rate and Processing:</w:t>
      </w:r>
      <w:r w:rsidR="00A33F36" w:rsidRPr="004253E5">
        <w:rPr>
          <w:b/>
        </w:rPr>
        <w:t xml:space="preserve"> </w:t>
      </w:r>
      <w:r w:rsidR="00A33F36" w:rsidRPr="004253E5">
        <w:t xml:space="preserve">Each extract will be scheduled to refresh its content on </w:t>
      </w:r>
      <w:r w:rsidR="004253E5" w:rsidRPr="004253E5">
        <w:t xml:space="preserve">a </w:t>
      </w:r>
      <w:r w:rsidR="00A33F36" w:rsidRPr="004253E5">
        <w:t xml:space="preserve">predefined basis. Scheduling and monitoring of extract refresh cycle will be performed by </w:t>
      </w:r>
      <w:r w:rsidR="004253E5">
        <w:t>the s</w:t>
      </w:r>
      <w:r w:rsidR="00A33F36" w:rsidRPr="004253E5">
        <w:t xml:space="preserve">erver administrator. All extracts will be refreshed during off-peak hours (evenings/nights/weekends) to maximize computing resources and to minimize degraded user experience and response time to process and render visualizations. </w:t>
      </w:r>
      <w:r w:rsidR="004253E5">
        <w:t xml:space="preserve">The </w:t>
      </w:r>
      <w:r w:rsidR="00955F1D" w:rsidRPr="004253E5">
        <w:t>Tableau administrator will work with the business side to queue the refresh</w:t>
      </w:r>
      <w:r w:rsidR="005C1C1B" w:rsidRPr="004253E5">
        <w:t xml:space="preserve"> of extracts</w:t>
      </w:r>
      <w:r w:rsidR="00955F1D" w:rsidRPr="004253E5">
        <w:t xml:space="preserve"> to meet the business needs. All extracts will support the following refresh rate</w:t>
      </w:r>
      <w:r w:rsidR="000C33EE">
        <w:t xml:space="preserve"> options</w:t>
      </w:r>
      <w:r w:rsidR="00955F1D" w:rsidRPr="004253E5">
        <w:t>: once per day (nightly), weekly</w:t>
      </w:r>
      <w:r w:rsidR="00E75BB5" w:rsidRPr="004253E5">
        <w:t xml:space="preserve">, </w:t>
      </w:r>
      <w:proofErr w:type="gramStart"/>
      <w:r w:rsidR="00E75BB5" w:rsidRPr="004253E5">
        <w:t>monthly</w:t>
      </w:r>
      <w:proofErr w:type="gramEnd"/>
      <w:r w:rsidR="00955F1D" w:rsidRPr="004253E5">
        <w:t xml:space="preserve">, quarterly, annually. Refresh errors attributed to connectivity </w:t>
      </w:r>
      <w:r w:rsidR="00DB229D" w:rsidRPr="004253E5">
        <w:lastRenderedPageBreak/>
        <w:t>issues,</w:t>
      </w:r>
      <w:r w:rsidR="00955F1D" w:rsidRPr="004253E5">
        <w:t xml:space="preserve"> such as denied access to the database/file, invalid connection string</w:t>
      </w:r>
      <w:r w:rsidR="005C1C1B" w:rsidRPr="004253E5">
        <w:t>,</w:t>
      </w:r>
      <w:r w:rsidR="00955F1D" w:rsidRPr="004253E5">
        <w:t xml:space="preserve"> will need to be resolved by the business. Such extracts will be flagged and the owner of the data extract will be notified.</w:t>
      </w:r>
    </w:p>
    <w:p w14:paraId="00EA6042" w14:textId="77777777" w:rsidR="00A33F36" w:rsidRPr="00A33F36" w:rsidRDefault="00A33F36" w:rsidP="00A33F36">
      <w:pPr>
        <w:pStyle w:val="ListParagraph"/>
        <w:spacing w:after="0" w:line="240" w:lineRule="auto"/>
        <w:ind w:left="1080"/>
        <w:rPr>
          <w:b/>
        </w:rPr>
      </w:pPr>
    </w:p>
    <w:p w14:paraId="6F1D1B85" w14:textId="77777777" w:rsidR="001A0B67" w:rsidRDefault="001A0B67" w:rsidP="001A0B67">
      <w:pPr>
        <w:rPr>
          <w:b/>
        </w:rPr>
      </w:pPr>
      <w:r w:rsidRPr="00460C2A">
        <w:rPr>
          <w:b/>
        </w:rPr>
        <w:t>Concurrence / Responsibility</w:t>
      </w:r>
    </w:p>
    <w:p w14:paraId="4AB5B26E" w14:textId="77777777" w:rsidR="001A0B67" w:rsidRDefault="001A0B67" w:rsidP="001A0B67">
      <w:pPr>
        <w:rPr>
          <w:b/>
        </w:rPr>
      </w:pPr>
    </w:p>
    <w:p w14:paraId="378AFC34" w14:textId="77777777" w:rsidR="001A0B67" w:rsidRDefault="001A0B67" w:rsidP="001A0B67">
      <w:r>
        <w:t>The undersigned concur with the observations and recommendations herein, and are in agreement with this guideline.</w:t>
      </w:r>
    </w:p>
    <w:p w14:paraId="69FA335A" w14:textId="77777777" w:rsidR="001A0B67" w:rsidRDefault="001A0B67" w:rsidP="001A0B67"/>
    <w:p w14:paraId="3E90E314" w14:textId="77777777" w:rsidR="001A0B67" w:rsidRDefault="001A0B67" w:rsidP="001A0B67"/>
    <w:p w14:paraId="576458DF" w14:textId="77777777" w:rsidR="001A0B67" w:rsidRDefault="001A0B67" w:rsidP="001A0B67">
      <w:pPr>
        <w:rPr>
          <w:b/>
        </w:rPr>
      </w:pPr>
      <w:r w:rsidRPr="00460C2A">
        <w:rPr>
          <w:b/>
        </w:rPr>
        <w:t>Signatures</w:t>
      </w:r>
    </w:p>
    <w:p w14:paraId="7865F793" w14:textId="77777777" w:rsidR="00E75BB5" w:rsidRDefault="00E75BB5" w:rsidP="001A0B67">
      <w:pPr>
        <w:rPr>
          <w:b/>
        </w:rPr>
      </w:pPr>
    </w:p>
    <w:p w14:paraId="7194D7A7" w14:textId="77777777" w:rsidR="00E75BB5" w:rsidRDefault="00E75BB5" w:rsidP="001A0B6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40"/>
        <w:gridCol w:w="2250"/>
      </w:tblGrid>
      <w:tr w:rsidR="00E75BB5" w14:paraId="51D599B9" w14:textId="77777777" w:rsidTr="00A858D3">
        <w:tc>
          <w:tcPr>
            <w:tcW w:w="5868" w:type="dxa"/>
            <w:tcBorders>
              <w:bottom w:val="single" w:sz="4" w:space="0" w:color="auto"/>
            </w:tcBorders>
          </w:tcPr>
          <w:p w14:paraId="2EFC909C" w14:textId="77777777" w:rsidR="00E75BB5" w:rsidRDefault="00E75BB5" w:rsidP="001A0B67">
            <w:pPr>
              <w:rPr>
                <w:b/>
              </w:rPr>
            </w:pPr>
          </w:p>
        </w:tc>
        <w:tc>
          <w:tcPr>
            <w:tcW w:w="540" w:type="dxa"/>
          </w:tcPr>
          <w:p w14:paraId="2A447C20" w14:textId="77777777" w:rsidR="00E75BB5" w:rsidRDefault="00E75BB5" w:rsidP="001A0B67">
            <w:pPr>
              <w:rPr>
                <w:b/>
              </w:rPr>
            </w:pPr>
          </w:p>
        </w:tc>
        <w:tc>
          <w:tcPr>
            <w:tcW w:w="2250" w:type="dxa"/>
            <w:tcBorders>
              <w:bottom w:val="single" w:sz="4" w:space="0" w:color="auto"/>
            </w:tcBorders>
          </w:tcPr>
          <w:p w14:paraId="205AAE18" w14:textId="77777777" w:rsidR="00E75BB5" w:rsidRDefault="00E75BB5" w:rsidP="001A0B67">
            <w:pPr>
              <w:rPr>
                <w:b/>
              </w:rPr>
            </w:pPr>
          </w:p>
        </w:tc>
      </w:tr>
      <w:tr w:rsidR="00E75BB5" w:rsidRPr="00E75BB5" w14:paraId="0E21CD42" w14:textId="77777777" w:rsidTr="00A858D3">
        <w:tc>
          <w:tcPr>
            <w:tcW w:w="5868" w:type="dxa"/>
            <w:tcBorders>
              <w:top w:val="single" w:sz="4" w:space="0" w:color="auto"/>
            </w:tcBorders>
          </w:tcPr>
          <w:p w14:paraId="41CC0297" w14:textId="297A385B" w:rsidR="00E75BB5" w:rsidRPr="00E75BB5" w:rsidRDefault="00E75BB5" w:rsidP="001A0B67">
            <w:r w:rsidRPr="00E75BB5">
              <w:t>Gary Quarfoth</w:t>
            </w:r>
          </w:p>
          <w:p w14:paraId="00DC962F" w14:textId="158ED266" w:rsidR="00E75BB5" w:rsidRPr="00E75BB5" w:rsidRDefault="00E75BB5" w:rsidP="001A0B67">
            <w:r w:rsidRPr="00E75BB5">
              <w:t>Associate Vice Provost</w:t>
            </w:r>
            <w:r w:rsidR="00F914A8">
              <w:t xml:space="preserve"> </w:t>
            </w:r>
            <w:r w:rsidR="00F914A8" w:rsidRPr="00E75BB5">
              <w:t>&amp; DMC Co-Chair</w:t>
            </w:r>
          </w:p>
          <w:p w14:paraId="078DE163" w14:textId="77E754A3" w:rsidR="00E75BB5" w:rsidRPr="00E75BB5" w:rsidRDefault="00E75BB5" w:rsidP="00F914A8">
            <w:r w:rsidRPr="00E75BB5">
              <w:t xml:space="preserve">Office of Planning &amp; Budgeting </w:t>
            </w:r>
          </w:p>
        </w:tc>
        <w:tc>
          <w:tcPr>
            <w:tcW w:w="540" w:type="dxa"/>
          </w:tcPr>
          <w:p w14:paraId="690C45FD" w14:textId="77777777" w:rsidR="00E75BB5" w:rsidRPr="00E75BB5" w:rsidRDefault="00E75BB5" w:rsidP="001A0B67"/>
        </w:tc>
        <w:tc>
          <w:tcPr>
            <w:tcW w:w="2250" w:type="dxa"/>
            <w:tcBorders>
              <w:top w:val="single" w:sz="4" w:space="0" w:color="auto"/>
            </w:tcBorders>
          </w:tcPr>
          <w:p w14:paraId="16E5EF80" w14:textId="3A367FF2" w:rsidR="00E75BB5" w:rsidRPr="00E75BB5" w:rsidRDefault="00E75BB5" w:rsidP="001A0B67">
            <w:r w:rsidRPr="00E75BB5">
              <w:t>Date</w:t>
            </w:r>
          </w:p>
        </w:tc>
        <w:bookmarkStart w:id="0" w:name="_GoBack"/>
        <w:bookmarkEnd w:id="0"/>
      </w:tr>
      <w:tr w:rsidR="00E75BB5" w:rsidRPr="00E75BB5" w14:paraId="672535C9" w14:textId="77777777" w:rsidTr="00A858D3">
        <w:tc>
          <w:tcPr>
            <w:tcW w:w="5868" w:type="dxa"/>
          </w:tcPr>
          <w:p w14:paraId="17DA38ED" w14:textId="77777777" w:rsidR="00E75BB5" w:rsidRPr="00E75BB5" w:rsidRDefault="00E75BB5" w:rsidP="001A0B67"/>
        </w:tc>
        <w:tc>
          <w:tcPr>
            <w:tcW w:w="540" w:type="dxa"/>
          </w:tcPr>
          <w:p w14:paraId="29C6A47B" w14:textId="77777777" w:rsidR="00E75BB5" w:rsidRPr="00E75BB5" w:rsidRDefault="00E75BB5" w:rsidP="001A0B67"/>
        </w:tc>
        <w:tc>
          <w:tcPr>
            <w:tcW w:w="2250" w:type="dxa"/>
          </w:tcPr>
          <w:p w14:paraId="44A0C7FE" w14:textId="77777777" w:rsidR="00E75BB5" w:rsidRPr="00E75BB5" w:rsidRDefault="00E75BB5" w:rsidP="001A0B67"/>
        </w:tc>
      </w:tr>
      <w:tr w:rsidR="00E75BB5" w:rsidRPr="00E75BB5" w14:paraId="22716FF7" w14:textId="77777777" w:rsidTr="00A858D3">
        <w:tc>
          <w:tcPr>
            <w:tcW w:w="5868" w:type="dxa"/>
          </w:tcPr>
          <w:p w14:paraId="73DAE8B1" w14:textId="77777777" w:rsidR="00E75BB5" w:rsidRPr="00E75BB5" w:rsidRDefault="00E75BB5" w:rsidP="001A0B67"/>
        </w:tc>
        <w:tc>
          <w:tcPr>
            <w:tcW w:w="540" w:type="dxa"/>
          </w:tcPr>
          <w:p w14:paraId="301DC703" w14:textId="77777777" w:rsidR="00E75BB5" w:rsidRPr="00E75BB5" w:rsidRDefault="00E75BB5" w:rsidP="001A0B67"/>
        </w:tc>
        <w:tc>
          <w:tcPr>
            <w:tcW w:w="2250" w:type="dxa"/>
          </w:tcPr>
          <w:p w14:paraId="0168898C" w14:textId="77777777" w:rsidR="00E75BB5" w:rsidRPr="00E75BB5" w:rsidRDefault="00E75BB5" w:rsidP="001A0B67"/>
        </w:tc>
      </w:tr>
      <w:tr w:rsidR="00E75BB5" w:rsidRPr="00E75BB5" w14:paraId="5F0861B0" w14:textId="77777777" w:rsidTr="00A858D3">
        <w:tc>
          <w:tcPr>
            <w:tcW w:w="5868" w:type="dxa"/>
            <w:tcBorders>
              <w:bottom w:val="single" w:sz="4" w:space="0" w:color="auto"/>
            </w:tcBorders>
          </w:tcPr>
          <w:p w14:paraId="7AD7BC28" w14:textId="77777777" w:rsidR="00E75BB5" w:rsidRPr="00E75BB5" w:rsidRDefault="00E75BB5" w:rsidP="001A0B67"/>
          <w:p w14:paraId="7F0F2487" w14:textId="77777777" w:rsidR="00E75BB5" w:rsidRPr="00E75BB5" w:rsidRDefault="00E75BB5" w:rsidP="001A0B67"/>
        </w:tc>
        <w:tc>
          <w:tcPr>
            <w:tcW w:w="540" w:type="dxa"/>
          </w:tcPr>
          <w:p w14:paraId="02F94CC7" w14:textId="77777777" w:rsidR="00E75BB5" w:rsidRPr="00E75BB5" w:rsidRDefault="00E75BB5" w:rsidP="001A0B67"/>
        </w:tc>
        <w:tc>
          <w:tcPr>
            <w:tcW w:w="2250" w:type="dxa"/>
            <w:tcBorders>
              <w:bottom w:val="single" w:sz="4" w:space="0" w:color="auto"/>
            </w:tcBorders>
          </w:tcPr>
          <w:p w14:paraId="310319FA" w14:textId="77777777" w:rsidR="00E75BB5" w:rsidRPr="00E75BB5" w:rsidRDefault="00E75BB5" w:rsidP="001A0B67"/>
        </w:tc>
      </w:tr>
      <w:tr w:rsidR="00E75BB5" w:rsidRPr="00E75BB5" w14:paraId="38BBEE3F" w14:textId="77777777" w:rsidTr="00A858D3">
        <w:tc>
          <w:tcPr>
            <w:tcW w:w="5868" w:type="dxa"/>
            <w:tcBorders>
              <w:top w:val="single" w:sz="4" w:space="0" w:color="auto"/>
            </w:tcBorders>
          </w:tcPr>
          <w:p w14:paraId="1CAFA681" w14:textId="4325A844" w:rsidR="00E75BB5" w:rsidRPr="00E75BB5" w:rsidRDefault="00E75BB5" w:rsidP="001A0B67">
            <w:r w:rsidRPr="00E75BB5">
              <w:t>Steve Majeski</w:t>
            </w:r>
          </w:p>
          <w:p w14:paraId="459D6B2E" w14:textId="1579682A" w:rsidR="00E75BB5" w:rsidRPr="00E75BB5" w:rsidRDefault="00E75BB5" w:rsidP="001A0B67">
            <w:r w:rsidRPr="00E75BB5">
              <w:t xml:space="preserve">Associate Dean for Research </w:t>
            </w:r>
            <w:r>
              <w:t>Administration &amp; Infrastructure</w:t>
            </w:r>
            <w:r w:rsidR="00F914A8">
              <w:t xml:space="preserve"> </w:t>
            </w:r>
            <w:r w:rsidR="00F914A8" w:rsidRPr="00E75BB5">
              <w:t>&amp; DMC Co-Chair</w:t>
            </w:r>
          </w:p>
          <w:p w14:paraId="0DEDE484" w14:textId="098A5337" w:rsidR="00E75BB5" w:rsidRPr="00E75BB5" w:rsidRDefault="00E75BB5" w:rsidP="00F914A8">
            <w:r w:rsidRPr="00E75BB5">
              <w:t xml:space="preserve">College of Arts &amp; Sciences </w:t>
            </w:r>
          </w:p>
        </w:tc>
        <w:tc>
          <w:tcPr>
            <w:tcW w:w="540" w:type="dxa"/>
          </w:tcPr>
          <w:p w14:paraId="7A645A71" w14:textId="77777777" w:rsidR="00E75BB5" w:rsidRPr="00E75BB5" w:rsidRDefault="00E75BB5" w:rsidP="001A0B67"/>
        </w:tc>
        <w:tc>
          <w:tcPr>
            <w:tcW w:w="2250" w:type="dxa"/>
            <w:tcBorders>
              <w:top w:val="single" w:sz="4" w:space="0" w:color="auto"/>
            </w:tcBorders>
          </w:tcPr>
          <w:p w14:paraId="76EE8D9E" w14:textId="57D74459" w:rsidR="00E75BB5" w:rsidRPr="00E75BB5" w:rsidRDefault="00E75BB5" w:rsidP="001A0B67">
            <w:r w:rsidRPr="00E75BB5">
              <w:t>Date</w:t>
            </w:r>
          </w:p>
        </w:tc>
      </w:tr>
    </w:tbl>
    <w:p w14:paraId="7622216B" w14:textId="77777777" w:rsidR="00E75BB5" w:rsidRPr="00460C2A" w:rsidRDefault="00E75BB5" w:rsidP="001A0B67">
      <w:pPr>
        <w:rPr>
          <w:b/>
        </w:rPr>
      </w:pPr>
    </w:p>
    <w:p w14:paraId="2FEE3E8D" w14:textId="561C2B2C" w:rsidR="00460C2A" w:rsidRPr="001A0B67" w:rsidRDefault="00460C2A" w:rsidP="001A0B67"/>
    <w:sectPr w:rsidR="00460C2A" w:rsidRPr="001A0B67" w:rsidSect="003264B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E3E90" w14:textId="77777777" w:rsidR="00601723" w:rsidRDefault="00601723" w:rsidP="00125DC2">
      <w:r>
        <w:separator/>
      </w:r>
    </w:p>
  </w:endnote>
  <w:endnote w:type="continuationSeparator" w:id="0">
    <w:p w14:paraId="2FEE3E91" w14:textId="77777777" w:rsidR="00601723" w:rsidRDefault="00601723" w:rsidP="0012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3E93" w14:textId="77777777" w:rsidR="00BB77C9" w:rsidRPr="00FA16A8" w:rsidRDefault="00BB77C9">
    <w:pPr>
      <w:pStyle w:val="Footer"/>
      <w:rPr>
        <w:rFonts w:ascii="Arial" w:hAnsi="Arial" w:cs="Arial"/>
      </w:rPr>
    </w:pPr>
    <w:r w:rsidRPr="00FA16A8">
      <w:rPr>
        <w:rFonts w:ascii="Arial" w:hAnsi="Arial" w:cs="Arial"/>
      </w:rPr>
      <w:fldChar w:fldCharType="begin"/>
    </w:r>
    <w:r w:rsidRPr="00FA16A8">
      <w:rPr>
        <w:rFonts w:ascii="Arial" w:hAnsi="Arial" w:cs="Arial"/>
      </w:rPr>
      <w:instrText xml:space="preserve"> DATE \@ "MMMM d, yyyy" </w:instrText>
    </w:r>
    <w:r w:rsidRPr="00FA16A8">
      <w:rPr>
        <w:rFonts w:ascii="Arial" w:hAnsi="Arial" w:cs="Arial"/>
      </w:rPr>
      <w:fldChar w:fldCharType="separate"/>
    </w:r>
    <w:r w:rsidR="00E75BB5">
      <w:rPr>
        <w:rFonts w:ascii="Arial" w:hAnsi="Arial" w:cs="Arial"/>
        <w:noProof/>
      </w:rPr>
      <w:t>March 24, 2014</w:t>
    </w:r>
    <w:r w:rsidRPr="00FA16A8">
      <w:rPr>
        <w:rFonts w:ascii="Arial" w:hAnsi="Arial" w:cs="Arial"/>
      </w:rPr>
      <w:fldChar w:fldCharType="end"/>
    </w:r>
    <w:r w:rsidRPr="00FA16A8">
      <w:rPr>
        <w:rFonts w:ascii="Arial" w:hAnsi="Arial" w:cs="Arial"/>
      </w:rPr>
      <w:tab/>
    </w:r>
    <w:r>
      <w:rPr>
        <w:rFonts w:ascii="Arial" w:hAnsi="Arial" w:cs="Arial"/>
      </w:rPr>
      <w:t>Text</w:t>
    </w:r>
    <w:r w:rsidRPr="00FA16A8">
      <w:rPr>
        <w:rFonts w:ascii="Arial" w:hAnsi="Arial" w:cs="Arial"/>
      </w:rPr>
      <w:t xml:space="preserve"> </w:t>
    </w:r>
    <w:r w:rsidRPr="00FA16A8">
      <w:rPr>
        <w:rFonts w:ascii="Arial" w:hAnsi="Arial" w:cs="Arial"/>
      </w:rPr>
      <w:tab/>
    </w:r>
    <w:r w:rsidRPr="00FA16A8">
      <w:rPr>
        <w:rFonts w:ascii="Arial" w:hAnsi="Arial" w:cs="Arial"/>
      </w:rPr>
      <w:fldChar w:fldCharType="begin"/>
    </w:r>
    <w:r w:rsidRPr="00FA16A8">
      <w:rPr>
        <w:rFonts w:ascii="Arial" w:hAnsi="Arial" w:cs="Arial"/>
      </w:rPr>
      <w:instrText xml:space="preserve"> PAGE   \* MERGEFORMAT </w:instrText>
    </w:r>
    <w:r w:rsidRPr="00FA16A8">
      <w:rPr>
        <w:rFonts w:ascii="Arial" w:hAnsi="Arial" w:cs="Arial"/>
      </w:rPr>
      <w:fldChar w:fldCharType="separate"/>
    </w:r>
    <w:r w:rsidR="00A858D3">
      <w:rPr>
        <w:rFonts w:ascii="Arial" w:hAnsi="Arial" w:cs="Arial"/>
        <w:noProof/>
      </w:rPr>
      <w:t>3</w:t>
    </w:r>
    <w:r w:rsidRPr="00FA16A8">
      <w:rPr>
        <w:rFonts w:ascii="Arial" w:hAnsi="Arial" w:cs="Arial"/>
      </w:rPr>
      <w:fldChar w:fldCharType="end"/>
    </w:r>
    <w:r w:rsidRPr="00FA16A8">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E3E8E" w14:textId="77777777" w:rsidR="00601723" w:rsidRDefault="00601723" w:rsidP="00125DC2">
      <w:r>
        <w:separator/>
      </w:r>
    </w:p>
  </w:footnote>
  <w:footnote w:type="continuationSeparator" w:id="0">
    <w:p w14:paraId="2FEE3E8F" w14:textId="77777777" w:rsidR="00601723" w:rsidRDefault="00601723" w:rsidP="00125DC2">
      <w:r>
        <w:continuationSeparator/>
      </w:r>
    </w:p>
  </w:footnote>
  <w:footnote w:id="1">
    <w:p w14:paraId="48017269" w14:textId="4A7B33DC" w:rsidR="00960B88" w:rsidRDefault="00960B88">
      <w:pPr>
        <w:pStyle w:val="FootnoteText"/>
      </w:pPr>
      <w:r>
        <w:rPr>
          <w:rStyle w:val="FootnoteReference"/>
        </w:rPr>
        <w:footnoteRef/>
      </w:r>
      <w:r>
        <w:t xml:space="preserve"> See the UW Institutional Data Management Standard for a definition of terms </w:t>
      </w:r>
      <w:hyperlink r:id="rId1" w:history="1">
        <w:r w:rsidRPr="00073D46">
          <w:rPr>
            <w:rStyle w:val="Hyperlink"/>
          </w:rPr>
          <w:t>http://www.washington.edu/uwit/im/dmc/docs/UWDataManagementStandards.pdf</w:t>
        </w:r>
      </w:hyperlink>
      <w:r>
        <w:t>.</w:t>
      </w:r>
    </w:p>
  </w:footnote>
  <w:footnote w:id="2">
    <w:p w14:paraId="7B74C1F8" w14:textId="77777777" w:rsidR="000C33EE" w:rsidRDefault="000C33EE" w:rsidP="000C33EE">
      <w:pPr>
        <w:pStyle w:val="FootnoteText"/>
      </w:pPr>
      <w:r>
        <w:rPr>
          <w:rStyle w:val="FootnoteReference"/>
        </w:rPr>
        <w:footnoteRef/>
      </w:r>
      <w:r>
        <w:t xml:space="preserve"> See UW Institutional Data Management Standard pg. 2</w:t>
      </w:r>
    </w:p>
  </w:footnote>
  <w:footnote w:id="3">
    <w:p w14:paraId="50A75756" w14:textId="137AFAB9" w:rsidR="00551CEE" w:rsidRDefault="00551CEE">
      <w:pPr>
        <w:pStyle w:val="FootnoteText"/>
      </w:pPr>
      <w:r>
        <w:rPr>
          <w:rStyle w:val="FootnoteReference"/>
        </w:rPr>
        <w:footnoteRef/>
      </w:r>
      <w:r>
        <w:t xml:space="preserve"> See </w:t>
      </w:r>
      <w:hyperlink r:id="rId2" w:history="1">
        <w:r>
          <w:rPr>
            <w:rStyle w:val="Hyperlink"/>
            <w:color w:val="000000"/>
          </w:rPr>
          <w:t>http://www.washington.edu/admin/rules/policies/APS/02.02.html</w:t>
        </w:r>
      </w:hyperlink>
      <w:r>
        <w:rPr>
          <w:color w:val="1F497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3E92" w14:textId="77777777" w:rsidR="00BB77C9" w:rsidRDefault="00BB77C9">
    <w:pPr>
      <w:pStyle w:val="Header"/>
    </w:pPr>
    <w:r w:rsidRPr="008167C8">
      <w:rPr>
        <w:noProof/>
      </w:rPr>
      <w:drawing>
        <wp:inline distT="0" distB="0" distL="0" distR="0" wp14:anchorId="2FEE3E94" wp14:editId="2FEE3E95">
          <wp:extent cx="2438400" cy="311091"/>
          <wp:effectExtent l="19050" t="0" r="0" b="0"/>
          <wp:docPr id="2" name="Picture 1" descr="InfoTech_UW.jpg"/>
          <wp:cNvGraphicFramePr/>
          <a:graphic xmlns:a="http://schemas.openxmlformats.org/drawingml/2006/main">
            <a:graphicData uri="http://schemas.openxmlformats.org/drawingml/2006/picture">
              <pic:pic xmlns:pic="http://schemas.openxmlformats.org/drawingml/2006/picture">
                <pic:nvPicPr>
                  <pic:cNvPr id="12" name="Picture 11" descr="InfoTech_UW.jpg"/>
                  <pic:cNvPicPr>
                    <a:picLocks noChangeAspect="1"/>
                  </pic:cNvPicPr>
                </pic:nvPicPr>
                <pic:blipFill>
                  <a:blip r:embed="rId1" cstate="print"/>
                  <a:stretch>
                    <a:fillRect/>
                  </a:stretch>
                </pic:blipFill>
                <pic:spPr>
                  <a:xfrm>
                    <a:off x="0" y="0"/>
                    <a:ext cx="2438400" cy="3110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C00"/>
    <w:multiLevelType w:val="hybridMultilevel"/>
    <w:tmpl w:val="A92443AE"/>
    <w:lvl w:ilvl="0" w:tplc="078E368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018"/>
    <w:multiLevelType w:val="hybridMultilevel"/>
    <w:tmpl w:val="57A022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4520CA"/>
    <w:multiLevelType w:val="hybridMultilevel"/>
    <w:tmpl w:val="B1E06BEA"/>
    <w:lvl w:ilvl="0" w:tplc="BD8C26F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A0A4D"/>
    <w:multiLevelType w:val="hybridMultilevel"/>
    <w:tmpl w:val="88161F80"/>
    <w:lvl w:ilvl="0" w:tplc="E1A2AF0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5861B1"/>
    <w:multiLevelType w:val="hybridMultilevel"/>
    <w:tmpl w:val="BF3E4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B5FEF"/>
    <w:multiLevelType w:val="hybridMultilevel"/>
    <w:tmpl w:val="6C9AD030"/>
    <w:lvl w:ilvl="0" w:tplc="C320137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F46265"/>
    <w:multiLevelType w:val="hybridMultilevel"/>
    <w:tmpl w:val="B98A76E0"/>
    <w:lvl w:ilvl="0" w:tplc="DB805622">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22"/>
    <w:rsid w:val="00004593"/>
    <w:rsid w:val="00061075"/>
    <w:rsid w:val="00075CCD"/>
    <w:rsid w:val="000C33EE"/>
    <w:rsid w:val="000E4115"/>
    <w:rsid w:val="000F1BA4"/>
    <w:rsid w:val="00125DC2"/>
    <w:rsid w:val="0013286A"/>
    <w:rsid w:val="001A0B67"/>
    <w:rsid w:val="0021099A"/>
    <w:rsid w:val="00256487"/>
    <w:rsid w:val="00261CA7"/>
    <w:rsid w:val="002775B0"/>
    <w:rsid w:val="00292DC6"/>
    <w:rsid w:val="002A19E3"/>
    <w:rsid w:val="002C6E2D"/>
    <w:rsid w:val="002D67C9"/>
    <w:rsid w:val="003002C8"/>
    <w:rsid w:val="003264BA"/>
    <w:rsid w:val="00352394"/>
    <w:rsid w:val="00352733"/>
    <w:rsid w:val="00365E42"/>
    <w:rsid w:val="00397B96"/>
    <w:rsid w:val="003D273F"/>
    <w:rsid w:val="003D6FBC"/>
    <w:rsid w:val="00411956"/>
    <w:rsid w:val="004253E5"/>
    <w:rsid w:val="00460C2A"/>
    <w:rsid w:val="0046330D"/>
    <w:rsid w:val="004747C3"/>
    <w:rsid w:val="004D30C5"/>
    <w:rsid w:val="004F6E89"/>
    <w:rsid w:val="00533BAD"/>
    <w:rsid w:val="00551CEE"/>
    <w:rsid w:val="005535A0"/>
    <w:rsid w:val="00595B29"/>
    <w:rsid w:val="005B0265"/>
    <w:rsid w:val="005B188A"/>
    <w:rsid w:val="005C1C1B"/>
    <w:rsid w:val="00601723"/>
    <w:rsid w:val="00612C22"/>
    <w:rsid w:val="00614D19"/>
    <w:rsid w:val="00615836"/>
    <w:rsid w:val="00622CDE"/>
    <w:rsid w:val="00634CBF"/>
    <w:rsid w:val="00666262"/>
    <w:rsid w:val="006872FB"/>
    <w:rsid w:val="00687E20"/>
    <w:rsid w:val="006C2D85"/>
    <w:rsid w:val="0073611D"/>
    <w:rsid w:val="00747CB3"/>
    <w:rsid w:val="00793DAF"/>
    <w:rsid w:val="00796C6D"/>
    <w:rsid w:val="007E7CB5"/>
    <w:rsid w:val="008070C4"/>
    <w:rsid w:val="008167C8"/>
    <w:rsid w:val="00821621"/>
    <w:rsid w:val="008418EA"/>
    <w:rsid w:val="00955F1D"/>
    <w:rsid w:val="00960B88"/>
    <w:rsid w:val="00963342"/>
    <w:rsid w:val="0098127B"/>
    <w:rsid w:val="0099632A"/>
    <w:rsid w:val="00A33F36"/>
    <w:rsid w:val="00A43AB9"/>
    <w:rsid w:val="00A858D3"/>
    <w:rsid w:val="00A96E00"/>
    <w:rsid w:val="00AB057E"/>
    <w:rsid w:val="00B05EA4"/>
    <w:rsid w:val="00B1628B"/>
    <w:rsid w:val="00B4023E"/>
    <w:rsid w:val="00B6412D"/>
    <w:rsid w:val="00B7203E"/>
    <w:rsid w:val="00BB77C9"/>
    <w:rsid w:val="00C27731"/>
    <w:rsid w:val="00C56B06"/>
    <w:rsid w:val="00CA42A9"/>
    <w:rsid w:val="00CA45BD"/>
    <w:rsid w:val="00CB61BA"/>
    <w:rsid w:val="00CD17CD"/>
    <w:rsid w:val="00CD5DA4"/>
    <w:rsid w:val="00D01520"/>
    <w:rsid w:val="00D435E5"/>
    <w:rsid w:val="00D61F6C"/>
    <w:rsid w:val="00D97CCB"/>
    <w:rsid w:val="00DB229D"/>
    <w:rsid w:val="00DD0064"/>
    <w:rsid w:val="00DD330F"/>
    <w:rsid w:val="00DD3832"/>
    <w:rsid w:val="00E21142"/>
    <w:rsid w:val="00E434A1"/>
    <w:rsid w:val="00E75BB5"/>
    <w:rsid w:val="00E77A6E"/>
    <w:rsid w:val="00E83CF9"/>
    <w:rsid w:val="00E873B8"/>
    <w:rsid w:val="00E92F5C"/>
    <w:rsid w:val="00EB3D5C"/>
    <w:rsid w:val="00EC7047"/>
    <w:rsid w:val="00ED2DC3"/>
    <w:rsid w:val="00F070D3"/>
    <w:rsid w:val="00F20BFD"/>
    <w:rsid w:val="00F24436"/>
    <w:rsid w:val="00F53505"/>
    <w:rsid w:val="00F914A8"/>
    <w:rsid w:val="00F92A48"/>
    <w:rsid w:val="00FA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C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25D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5D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5D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DC2"/>
    <w:pPr>
      <w:tabs>
        <w:tab w:val="center" w:pos="4680"/>
        <w:tab w:val="right" w:pos="9360"/>
      </w:tabs>
    </w:pPr>
  </w:style>
  <w:style w:type="character" w:customStyle="1" w:styleId="HeaderChar">
    <w:name w:val="Header Char"/>
    <w:basedOn w:val="DefaultParagraphFont"/>
    <w:link w:val="Header"/>
    <w:uiPriority w:val="99"/>
    <w:rsid w:val="00125DC2"/>
  </w:style>
  <w:style w:type="paragraph" w:styleId="Footer">
    <w:name w:val="footer"/>
    <w:basedOn w:val="Normal"/>
    <w:link w:val="FooterChar"/>
    <w:uiPriority w:val="99"/>
    <w:semiHidden/>
    <w:unhideWhenUsed/>
    <w:rsid w:val="00125DC2"/>
    <w:pPr>
      <w:tabs>
        <w:tab w:val="center" w:pos="4680"/>
        <w:tab w:val="right" w:pos="9360"/>
      </w:tabs>
    </w:pPr>
  </w:style>
  <w:style w:type="character" w:customStyle="1" w:styleId="FooterChar">
    <w:name w:val="Footer Char"/>
    <w:basedOn w:val="DefaultParagraphFont"/>
    <w:link w:val="Footer"/>
    <w:uiPriority w:val="99"/>
    <w:semiHidden/>
    <w:rsid w:val="00125DC2"/>
  </w:style>
  <w:style w:type="paragraph" w:styleId="BalloonText">
    <w:name w:val="Balloon Text"/>
    <w:basedOn w:val="Normal"/>
    <w:link w:val="BalloonTextChar"/>
    <w:uiPriority w:val="99"/>
    <w:semiHidden/>
    <w:unhideWhenUsed/>
    <w:rsid w:val="00125DC2"/>
    <w:rPr>
      <w:rFonts w:ascii="Tahoma" w:hAnsi="Tahoma" w:cs="Tahoma"/>
      <w:sz w:val="16"/>
      <w:szCs w:val="16"/>
    </w:rPr>
  </w:style>
  <w:style w:type="character" w:customStyle="1" w:styleId="BalloonTextChar">
    <w:name w:val="Balloon Text Char"/>
    <w:basedOn w:val="DefaultParagraphFont"/>
    <w:link w:val="BalloonText"/>
    <w:uiPriority w:val="99"/>
    <w:semiHidden/>
    <w:rsid w:val="00125DC2"/>
    <w:rPr>
      <w:rFonts w:ascii="Tahoma" w:hAnsi="Tahoma" w:cs="Tahoma"/>
      <w:sz w:val="16"/>
      <w:szCs w:val="16"/>
    </w:rPr>
  </w:style>
  <w:style w:type="paragraph" w:styleId="ListParagraph">
    <w:name w:val="List Paragraph"/>
    <w:basedOn w:val="Normal"/>
    <w:uiPriority w:val="34"/>
    <w:qFormat/>
    <w:rsid w:val="00125DC2"/>
    <w:pPr>
      <w:spacing w:after="200" w:line="276" w:lineRule="auto"/>
      <w:ind w:left="720"/>
    </w:pPr>
  </w:style>
  <w:style w:type="character" w:customStyle="1" w:styleId="Heading2Char">
    <w:name w:val="Heading 2 Char"/>
    <w:basedOn w:val="DefaultParagraphFont"/>
    <w:link w:val="Heading2"/>
    <w:uiPriority w:val="9"/>
    <w:rsid w:val="00125D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5DC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25DC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7A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7A6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614D19"/>
    <w:rPr>
      <w:sz w:val="16"/>
      <w:szCs w:val="16"/>
    </w:rPr>
  </w:style>
  <w:style w:type="paragraph" w:styleId="CommentText">
    <w:name w:val="annotation text"/>
    <w:basedOn w:val="Normal"/>
    <w:link w:val="CommentTextChar"/>
    <w:uiPriority w:val="99"/>
    <w:semiHidden/>
    <w:unhideWhenUsed/>
    <w:rsid w:val="00614D19"/>
    <w:rPr>
      <w:sz w:val="20"/>
      <w:szCs w:val="20"/>
    </w:rPr>
  </w:style>
  <w:style w:type="character" w:customStyle="1" w:styleId="CommentTextChar">
    <w:name w:val="Comment Text Char"/>
    <w:basedOn w:val="DefaultParagraphFont"/>
    <w:link w:val="CommentText"/>
    <w:uiPriority w:val="99"/>
    <w:semiHidden/>
    <w:rsid w:val="00614D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4D19"/>
    <w:rPr>
      <w:b/>
      <w:bCs/>
    </w:rPr>
  </w:style>
  <w:style w:type="character" w:customStyle="1" w:styleId="CommentSubjectChar">
    <w:name w:val="Comment Subject Char"/>
    <w:basedOn w:val="CommentTextChar"/>
    <w:link w:val="CommentSubject"/>
    <w:uiPriority w:val="99"/>
    <w:semiHidden/>
    <w:rsid w:val="00614D19"/>
    <w:rPr>
      <w:rFonts w:ascii="Calibri" w:hAnsi="Calibri" w:cs="Times New Roman"/>
      <w:b/>
      <w:bCs/>
      <w:sz w:val="20"/>
      <w:szCs w:val="20"/>
    </w:rPr>
  </w:style>
  <w:style w:type="paragraph" w:styleId="FootnoteText">
    <w:name w:val="footnote text"/>
    <w:basedOn w:val="Normal"/>
    <w:link w:val="FootnoteTextChar"/>
    <w:uiPriority w:val="99"/>
    <w:semiHidden/>
    <w:unhideWhenUsed/>
    <w:rsid w:val="00960B88"/>
    <w:rPr>
      <w:sz w:val="20"/>
      <w:szCs w:val="20"/>
    </w:rPr>
  </w:style>
  <w:style w:type="character" w:customStyle="1" w:styleId="FootnoteTextChar">
    <w:name w:val="Footnote Text Char"/>
    <w:basedOn w:val="DefaultParagraphFont"/>
    <w:link w:val="FootnoteText"/>
    <w:uiPriority w:val="99"/>
    <w:semiHidden/>
    <w:rsid w:val="00960B88"/>
    <w:rPr>
      <w:rFonts w:ascii="Calibri" w:hAnsi="Calibri" w:cs="Times New Roman"/>
      <w:sz w:val="20"/>
      <w:szCs w:val="20"/>
    </w:rPr>
  </w:style>
  <w:style w:type="character" w:styleId="FootnoteReference">
    <w:name w:val="footnote reference"/>
    <w:basedOn w:val="DefaultParagraphFont"/>
    <w:uiPriority w:val="99"/>
    <w:semiHidden/>
    <w:unhideWhenUsed/>
    <w:rsid w:val="00960B88"/>
    <w:rPr>
      <w:vertAlign w:val="superscript"/>
    </w:rPr>
  </w:style>
  <w:style w:type="character" w:styleId="Hyperlink">
    <w:name w:val="Hyperlink"/>
    <w:basedOn w:val="DefaultParagraphFont"/>
    <w:uiPriority w:val="99"/>
    <w:unhideWhenUsed/>
    <w:rsid w:val="00960B88"/>
    <w:rPr>
      <w:color w:val="0000FF" w:themeColor="hyperlink"/>
      <w:u w:val="single"/>
    </w:rPr>
  </w:style>
  <w:style w:type="table" w:styleId="TableGrid">
    <w:name w:val="Table Grid"/>
    <w:basedOn w:val="TableNormal"/>
    <w:uiPriority w:val="59"/>
    <w:rsid w:val="00E75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DC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25D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5D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5D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DC2"/>
    <w:pPr>
      <w:tabs>
        <w:tab w:val="center" w:pos="4680"/>
        <w:tab w:val="right" w:pos="9360"/>
      </w:tabs>
    </w:pPr>
  </w:style>
  <w:style w:type="character" w:customStyle="1" w:styleId="HeaderChar">
    <w:name w:val="Header Char"/>
    <w:basedOn w:val="DefaultParagraphFont"/>
    <w:link w:val="Header"/>
    <w:uiPriority w:val="99"/>
    <w:rsid w:val="00125DC2"/>
  </w:style>
  <w:style w:type="paragraph" w:styleId="Footer">
    <w:name w:val="footer"/>
    <w:basedOn w:val="Normal"/>
    <w:link w:val="FooterChar"/>
    <w:uiPriority w:val="99"/>
    <w:semiHidden/>
    <w:unhideWhenUsed/>
    <w:rsid w:val="00125DC2"/>
    <w:pPr>
      <w:tabs>
        <w:tab w:val="center" w:pos="4680"/>
        <w:tab w:val="right" w:pos="9360"/>
      </w:tabs>
    </w:pPr>
  </w:style>
  <w:style w:type="character" w:customStyle="1" w:styleId="FooterChar">
    <w:name w:val="Footer Char"/>
    <w:basedOn w:val="DefaultParagraphFont"/>
    <w:link w:val="Footer"/>
    <w:uiPriority w:val="99"/>
    <w:semiHidden/>
    <w:rsid w:val="00125DC2"/>
  </w:style>
  <w:style w:type="paragraph" w:styleId="BalloonText">
    <w:name w:val="Balloon Text"/>
    <w:basedOn w:val="Normal"/>
    <w:link w:val="BalloonTextChar"/>
    <w:uiPriority w:val="99"/>
    <w:semiHidden/>
    <w:unhideWhenUsed/>
    <w:rsid w:val="00125DC2"/>
    <w:rPr>
      <w:rFonts w:ascii="Tahoma" w:hAnsi="Tahoma" w:cs="Tahoma"/>
      <w:sz w:val="16"/>
      <w:szCs w:val="16"/>
    </w:rPr>
  </w:style>
  <w:style w:type="character" w:customStyle="1" w:styleId="BalloonTextChar">
    <w:name w:val="Balloon Text Char"/>
    <w:basedOn w:val="DefaultParagraphFont"/>
    <w:link w:val="BalloonText"/>
    <w:uiPriority w:val="99"/>
    <w:semiHidden/>
    <w:rsid w:val="00125DC2"/>
    <w:rPr>
      <w:rFonts w:ascii="Tahoma" w:hAnsi="Tahoma" w:cs="Tahoma"/>
      <w:sz w:val="16"/>
      <w:szCs w:val="16"/>
    </w:rPr>
  </w:style>
  <w:style w:type="paragraph" w:styleId="ListParagraph">
    <w:name w:val="List Paragraph"/>
    <w:basedOn w:val="Normal"/>
    <w:uiPriority w:val="34"/>
    <w:qFormat/>
    <w:rsid w:val="00125DC2"/>
    <w:pPr>
      <w:spacing w:after="200" w:line="276" w:lineRule="auto"/>
      <w:ind w:left="720"/>
    </w:pPr>
  </w:style>
  <w:style w:type="character" w:customStyle="1" w:styleId="Heading2Char">
    <w:name w:val="Heading 2 Char"/>
    <w:basedOn w:val="DefaultParagraphFont"/>
    <w:link w:val="Heading2"/>
    <w:uiPriority w:val="9"/>
    <w:rsid w:val="00125D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5DC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25DC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77A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7A6E"/>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614D19"/>
    <w:rPr>
      <w:sz w:val="16"/>
      <w:szCs w:val="16"/>
    </w:rPr>
  </w:style>
  <w:style w:type="paragraph" w:styleId="CommentText">
    <w:name w:val="annotation text"/>
    <w:basedOn w:val="Normal"/>
    <w:link w:val="CommentTextChar"/>
    <w:uiPriority w:val="99"/>
    <w:semiHidden/>
    <w:unhideWhenUsed/>
    <w:rsid w:val="00614D19"/>
    <w:rPr>
      <w:sz w:val="20"/>
      <w:szCs w:val="20"/>
    </w:rPr>
  </w:style>
  <w:style w:type="character" w:customStyle="1" w:styleId="CommentTextChar">
    <w:name w:val="Comment Text Char"/>
    <w:basedOn w:val="DefaultParagraphFont"/>
    <w:link w:val="CommentText"/>
    <w:uiPriority w:val="99"/>
    <w:semiHidden/>
    <w:rsid w:val="00614D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4D19"/>
    <w:rPr>
      <w:b/>
      <w:bCs/>
    </w:rPr>
  </w:style>
  <w:style w:type="character" w:customStyle="1" w:styleId="CommentSubjectChar">
    <w:name w:val="Comment Subject Char"/>
    <w:basedOn w:val="CommentTextChar"/>
    <w:link w:val="CommentSubject"/>
    <w:uiPriority w:val="99"/>
    <w:semiHidden/>
    <w:rsid w:val="00614D19"/>
    <w:rPr>
      <w:rFonts w:ascii="Calibri" w:hAnsi="Calibri" w:cs="Times New Roman"/>
      <w:b/>
      <w:bCs/>
      <w:sz w:val="20"/>
      <w:szCs w:val="20"/>
    </w:rPr>
  </w:style>
  <w:style w:type="paragraph" w:styleId="FootnoteText">
    <w:name w:val="footnote text"/>
    <w:basedOn w:val="Normal"/>
    <w:link w:val="FootnoteTextChar"/>
    <w:uiPriority w:val="99"/>
    <w:semiHidden/>
    <w:unhideWhenUsed/>
    <w:rsid w:val="00960B88"/>
    <w:rPr>
      <w:sz w:val="20"/>
      <w:szCs w:val="20"/>
    </w:rPr>
  </w:style>
  <w:style w:type="character" w:customStyle="1" w:styleId="FootnoteTextChar">
    <w:name w:val="Footnote Text Char"/>
    <w:basedOn w:val="DefaultParagraphFont"/>
    <w:link w:val="FootnoteText"/>
    <w:uiPriority w:val="99"/>
    <w:semiHidden/>
    <w:rsid w:val="00960B88"/>
    <w:rPr>
      <w:rFonts w:ascii="Calibri" w:hAnsi="Calibri" w:cs="Times New Roman"/>
      <w:sz w:val="20"/>
      <w:szCs w:val="20"/>
    </w:rPr>
  </w:style>
  <w:style w:type="character" w:styleId="FootnoteReference">
    <w:name w:val="footnote reference"/>
    <w:basedOn w:val="DefaultParagraphFont"/>
    <w:uiPriority w:val="99"/>
    <w:semiHidden/>
    <w:unhideWhenUsed/>
    <w:rsid w:val="00960B88"/>
    <w:rPr>
      <w:vertAlign w:val="superscript"/>
    </w:rPr>
  </w:style>
  <w:style w:type="character" w:styleId="Hyperlink">
    <w:name w:val="Hyperlink"/>
    <w:basedOn w:val="DefaultParagraphFont"/>
    <w:uiPriority w:val="99"/>
    <w:unhideWhenUsed/>
    <w:rsid w:val="00960B88"/>
    <w:rPr>
      <w:color w:val="0000FF" w:themeColor="hyperlink"/>
      <w:u w:val="single"/>
    </w:rPr>
  </w:style>
  <w:style w:type="table" w:styleId="TableGrid">
    <w:name w:val="Table Grid"/>
    <w:basedOn w:val="TableNormal"/>
    <w:uiPriority w:val="59"/>
    <w:rsid w:val="00E75B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1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ashington.edu/admin/rules/policies/APS/02.02.html" TargetMode="External"/><Relationship Id="rId1" Type="http://schemas.openxmlformats.org/officeDocument/2006/relationships/hyperlink" Target="http://www.washington.edu/uwit/im/dmc/docs/UWDataManagement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00FBF0DB86445AFA67E06487678FB" ma:contentTypeVersion="4" ma:contentTypeDescription="Create a new document." ma:contentTypeScope="" ma:versionID="42958f632b37d3bf40ae71d1f49347e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d0645ab9e439b58339e37b00130db779"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FC18-A528-4B88-AFF8-BC1CCEA1EF96}">
  <ds:schemaRefs>
    <ds:schemaRef ds:uri="http://schemas.microsoft.com/sharepoint/v3/contenttype/forms"/>
  </ds:schemaRefs>
</ds:datastoreItem>
</file>

<file path=customXml/itemProps2.xml><?xml version="1.0" encoding="utf-8"?>
<ds:datastoreItem xmlns:ds="http://schemas.openxmlformats.org/officeDocument/2006/customXml" ds:itemID="{4CCCD019-1D13-4164-8988-F3E0B06F2CC7}">
  <ds:schemaRefs>
    <ds:schemaRef ds:uri="http://www.w3.org/XML/1998/namespace"/>
    <ds:schemaRef ds:uri="http://schemas.microsoft.com/office/2006/documentManagement/types"/>
    <ds:schemaRef ds:uri="http://schemas.microsoft.com/sharepoint/v4"/>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DC6F55-F293-4D25-A711-D31DD0AF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F8F98-E4F0-450D-9796-6DCC8B94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ksharpe</dc:creator>
  <cp:lastModifiedBy>Marlene Lane</cp:lastModifiedBy>
  <cp:revision>3</cp:revision>
  <cp:lastPrinted>2014-03-14T17:28:00Z</cp:lastPrinted>
  <dcterms:created xsi:type="dcterms:W3CDTF">2014-03-24T16:52:00Z</dcterms:created>
  <dcterms:modified xsi:type="dcterms:W3CDTF">2014-03-24T16:52:00Z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0x010100CFE00FBF0DB86445AFA67E06487678FB</vt:lpwstr>
  </property>
</Properties>
</file>