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8"/>
        <w:gridCol w:w="3362"/>
      </w:tblGrid>
      <w:tr w:rsidR="00170A41" w14:paraId="471A0C4D" w14:textId="77777777" w:rsidTr="00170A41">
        <w:tc>
          <w:tcPr>
            <w:tcW w:w="6138" w:type="dxa"/>
          </w:tcPr>
          <w:p w14:paraId="76C6C0A4" w14:textId="77777777" w:rsidR="00170A41" w:rsidRPr="005D768E" w:rsidRDefault="00170A41">
            <w:pPr>
              <w:rPr>
                <w:i/>
              </w:rPr>
            </w:pPr>
          </w:p>
        </w:tc>
        <w:tc>
          <w:tcPr>
            <w:tcW w:w="3438" w:type="dxa"/>
          </w:tcPr>
          <w:p w14:paraId="41D94432" w14:textId="77777777" w:rsidR="00170A41" w:rsidRDefault="00170A41"/>
        </w:tc>
      </w:tr>
    </w:tbl>
    <w:p w14:paraId="16FD5E39" w14:textId="7FEE5144" w:rsidR="00BC7A50" w:rsidRPr="000E3D83" w:rsidRDefault="00776EB2" w:rsidP="00F8239F">
      <w:pPr>
        <w:ind w:left="720"/>
        <w:jc w:val="center"/>
        <w:rPr>
          <w:rStyle w:val="IntenseEmphasis"/>
          <w:rFonts w:ascii="Verdana" w:hAnsi="Verdana"/>
          <w:sz w:val="24"/>
          <w:szCs w:val="24"/>
        </w:rPr>
      </w:pPr>
      <w:r>
        <w:rPr>
          <w:rStyle w:val="IntenseEmphasis"/>
          <w:rFonts w:ascii="Verdana" w:hAnsi="Verdana"/>
          <w:sz w:val="24"/>
          <w:szCs w:val="24"/>
        </w:rPr>
        <w:t xml:space="preserve">Safe Aggregation of </w:t>
      </w:r>
      <w:r w:rsidR="007C72A1">
        <w:rPr>
          <w:rStyle w:val="IntenseEmphasis"/>
          <w:rFonts w:ascii="Verdana" w:hAnsi="Verdana"/>
          <w:sz w:val="24"/>
          <w:szCs w:val="24"/>
        </w:rPr>
        <w:t>Personally Identifiable Information</w:t>
      </w:r>
      <w:r w:rsidR="005B4B51">
        <w:rPr>
          <w:rStyle w:val="IntenseEmphasis"/>
          <w:rFonts w:ascii="Verdana" w:hAnsi="Verdana"/>
          <w:sz w:val="24"/>
          <w:szCs w:val="24"/>
        </w:rPr>
        <w:t xml:space="preserve"> Data in </w:t>
      </w:r>
      <w:r w:rsidR="00F43C88">
        <w:rPr>
          <w:rStyle w:val="IntenseEmphasis"/>
          <w:rFonts w:ascii="Verdana" w:hAnsi="Verdana"/>
          <w:sz w:val="24"/>
          <w:szCs w:val="24"/>
        </w:rPr>
        <w:t>Generally</w:t>
      </w:r>
      <w:r w:rsidR="005B4B51">
        <w:rPr>
          <w:rStyle w:val="IntenseEmphasis"/>
          <w:rFonts w:ascii="Verdana" w:hAnsi="Verdana"/>
          <w:sz w:val="24"/>
          <w:szCs w:val="24"/>
        </w:rPr>
        <w:t xml:space="preserve"> Available Aggregated Reports </w:t>
      </w:r>
      <w:r w:rsidR="009D6CCC">
        <w:rPr>
          <w:rStyle w:val="IntenseEmphasis"/>
          <w:rFonts w:ascii="Verdana" w:hAnsi="Verdana"/>
          <w:sz w:val="24"/>
          <w:szCs w:val="24"/>
        </w:rPr>
        <w:t>and Cubes</w:t>
      </w:r>
    </w:p>
    <w:p w14:paraId="1114806F" w14:textId="77777777" w:rsidR="00BC7A50" w:rsidRPr="00EA1593" w:rsidRDefault="00D82FE1" w:rsidP="00D82FE1">
      <w:pPr>
        <w:rPr>
          <w:rStyle w:val="Strong"/>
          <w:rFonts w:ascii="Verdana" w:hAnsi="Verdana"/>
        </w:rPr>
      </w:pPr>
      <w:r w:rsidRPr="00EA1593">
        <w:rPr>
          <w:rStyle w:val="Strong"/>
          <w:rFonts w:ascii="Verdana" w:hAnsi="Verdana"/>
        </w:rPr>
        <w:t>Purpose</w:t>
      </w:r>
    </w:p>
    <w:p w14:paraId="5A8FDFFD" w14:textId="4981A43B" w:rsidR="00776EB2" w:rsidRPr="00990BDE" w:rsidRDefault="00FF56BD" w:rsidP="00776EB2">
      <w:r>
        <w:t>The protection of individuals</w:t>
      </w:r>
      <w:r w:rsidR="005B4B51">
        <w:t>’ p</w:t>
      </w:r>
      <w:r w:rsidR="00776EB2">
        <w:t>ersonally identifiable information</w:t>
      </w:r>
      <w:r w:rsidR="005B4B51">
        <w:rPr>
          <w:rStyle w:val="EndnoteReference"/>
        </w:rPr>
        <w:t xml:space="preserve"> </w:t>
      </w:r>
      <w:r w:rsidR="00776EB2">
        <w:t xml:space="preserve">(PII) in University of Washington (UW) </w:t>
      </w:r>
      <w:r w:rsidR="005B4B51">
        <w:t>information systems</w:t>
      </w:r>
      <w:r w:rsidR="00776EB2">
        <w:t xml:space="preserve"> is </w:t>
      </w:r>
      <w:r w:rsidR="0033571A">
        <w:t>regulated</w:t>
      </w:r>
      <w:r>
        <w:t xml:space="preserve"> by federal and state privacy laws</w:t>
      </w:r>
      <w:r w:rsidR="00776EB2">
        <w:t xml:space="preserve">; yet, in the interest of transparency, the </w:t>
      </w:r>
      <w:r w:rsidR="0033571A">
        <w:t xml:space="preserve">UW </w:t>
      </w:r>
      <w:r w:rsidR="00776EB2">
        <w:t>must publish aggregate reports to inform the public about the students it serves</w:t>
      </w:r>
      <w:r>
        <w:t xml:space="preserve"> and the individuals it employs to fulfill its mission</w:t>
      </w:r>
      <w:r w:rsidR="00776EB2">
        <w:t xml:space="preserve">. While the aggregation of </w:t>
      </w:r>
      <w:r>
        <w:t>individual</w:t>
      </w:r>
      <w:r w:rsidR="00776EB2">
        <w:t xml:space="preserve">-level data into department- or university-level data significantly reduces the risk of disclosing PII, an </w:t>
      </w:r>
      <w:r w:rsidR="00776EB2" w:rsidRPr="00990BDE">
        <w:t xml:space="preserve">accidental disclosure can nevertheless occur when aggregate reports are presented </w:t>
      </w:r>
      <w:r>
        <w:t xml:space="preserve">in a way that allows individuals </w:t>
      </w:r>
      <w:r w:rsidR="00776EB2" w:rsidRPr="00990BDE">
        <w:t>to be identified</w:t>
      </w:r>
      <w:r w:rsidR="00776EB2">
        <w:t xml:space="preserve">, either directly or in combination with other available information.  To comply with </w:t>
      </w:r>
      <w:r>
        <w:t>privacy laws</w:t>
      </w:r>
      <w:r w:rsidR="00776EB2">
        <w:t xml:space="preserve">, </w:t>
      </w:r>
      <w:r w:rsidR="00967ECF" w:rsidRPr="00990BDE">
        <w:t xml:space="preserve">UW designated officials </w:t>
      </w:r>
      <w:r w:rsidR="0033571A" w:rsidRPr="00990BDE">
        <w:t>who aggregat</w:t>
      </w:r>
      <w:r w:rsidR="00990BDE" w:rsidRPr="00990BDE">
        <w:t>e</w:t>
      </w:r>
      <w:r w:rsidR="0033571A" w:rsidRPr="00990BDE">
        <w:t xml:space="preserve"> or </w:t>
      </w:r>
      <w:r w:rsidR="00776EB2" w:rsidRPr="00990BDE">
        <w:t>publish data at the UW must take steps to minimize the risk of disclosing PII</w:t>
      </w:r>
      <w:r w:rsidR="0033571A" w:rsidRPr="00990BDE">
        <w:t>.</w:t>
      </w:r>
      <w:r w:rsidR="00776EB2" w:rsidRPr="00990BDE">
        <w:t xml:space="preserve">  </w:t>
      </w:r>
    </w:p>
    <w:p w14:paraId="5C90D98E" w14:textId="7996E387" w:rsidR="00776EB2" w:rsidRPr="00DA2F5A" w:rsidRDefault="00776EB2" w:rsidP="00776EB2">
      <w:r>
        <w:t xml:space="preserve">This guideline summarizes the Best Practices for Aggregate Reporting of </w:t>
      </w:r>
      <w:r w:rsidR="00FF56BD">
        <w:t>Individual</w:t>
      </w:r>
      <w:r>
        <w:t xml:space="preserve"> Data at the </w:t>
      </w:r>
      <w:r w:rsidR="0033571A">
        <w:t xml:space="preserve">UW. </w:t>
      </w:r>
    </w:p>
    <w:p w14:paraId="3BF704F6" w14:textId="60F072D7" w:rsidR="00776EB2" w:rsidRDefault="00776EB2" w:rsidP="00776EB2">
      <w:r w:rsidRPr="00DA2F5A">
        <w:t xml:space="preserve">Note that </w:t>
      </w:r>
      <w:r>
        <w:t>these</w:t>
      </w:r>
      <w:r w:rsidRPr="00DA2F5A">
        <w:t xml:space="preserve"> guidelines </w:t>
      </w:r>
      <w:r w:rsidR="0033571A">
        <w:t xml:space="preserve">are not all inclusive and </w:t>
      </w:r>
      <w:r>
        <w:t>do</w:t>
      </w:r>
      <w:r w:rsidRPr="00DA2F5A">
        <w:t xml:space="preserve"> not </w:t>
      </w:r>
      <w:r>
        <w:t>replace</w:t>
      </w:r>
      <w:r w:rsidRPr="00DA2F5A">
        <w:t xml:space="preserve"> the need for </w:t>
      </w:r>
      <w:r>
        <w:t xml:space="preserve">data </w:t>
      </w:r>
      <w:r w:rsidR="00990BDE">
        <w:t>users</w:t>
      </w:r>
      <w:r w:rsidRPr="00DA2F5A">
        <w:t xml:space="preserve"> to be familiar with </w:t>
      </w:r>
      <w:r w:rsidR="00FF56BD">
        <w:t xml:space="preserve">any </w:t>
      </w:r>
      <w:r w:rsidRPr="00DA2F5A">
        <w:t>laws and regulations</w:t>
      </w:r>
      <w:r w:rsidR="00FF56BD">
        <w:t xml:space="preserve"> that relate to PII</w:t>
      </w:r>
      <w:r>
        <w:t>,</w:t>
      </w:r>
      <w:r w:rsidRPr="00DA2F5A">
        <w:t xml:space="preserve"> </w:t>
      </w:r>
      <w:r w:rsidR="00FF56BD">
        <w:t>as well as any</w:t>
      </w:r>
      <w:r w:rsidRPr="00DA2F5A">
        <w:t xml:space="preserve"> department-specific policies.</w:t>
      </w:r>
    </w:p>
    <w:p w14:paraId="0E862C2F" w14:textId="77777777" w:rsidR="00BC7A50" w:rsidRPr="00EA1593" w:rsidRDefault="00D82FE1" w:rsidP="00BC7A50">
      <w:pPr>
        <w:rPr>
          <w:rFonts w:ascii="Verdana" w:hAnsi="Verdana"/>
          <w:b/>
          <w:bCs/>
        </w:rPr>
      </w:pPr>
      <w:r w:rsidRPr="00EA1593">
        <w:rPr>
          <w:rStyle w:val="Strong"/>
          <w:rFonts w:ascii="Verdana" w:hAnsi="Verdana"/>
        </w:rPr>
        <w:t>Overview</w:t>
      </w:r>
      <w:r w:rsidR="006414CD">
        <w:rPr>
          <w:rStyle w:val="Strong"/>
          <w:rFonts w:ascii="Verdana" w:hAnsi="Verdana"/>
        </w:rPr>
        <w:t xml:space="preserve"> / Problem Statement</w:t>
      </w:r>
    </w:p>
    <w:p w14:paraId="4C59C03E" w14:textId="0DD2AC06" w:rsidR="00D82FE1" w:rsidRPr="005B4B51" w:rsidRDefault="00241298" w:rsidP="00EA1593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>Many</w:t>
      </w:r>
      <w:r w:rsidR="005B4B51">
        <w:rPr>
          <w:color w:val="000000" w:themeColor="text1"/>
        </w:rPr>
        <w:t xml:space="preserve"> reports</w:t>
      </w:r>
      <w:r w:rsidR="009D6CCC">
        <w:rPr>
          <w:color w:val="000000" w:themeColor="text1"/>
        </w:rPr>
        <w:t xml:space="preserve"> and cubes</w:t>
      </w:r>
      <w:r w:rsidR="005B4B51">
        <w:rPr>
          <w:color w:val="000000" w:themeColor="text1"/>
        </w:rPr>
        <w:t xml:space="preserve"> </w:t>
      </w:r>
      <w:r w:rsidR="0080598B">
        <w:rPr>
          <w:color w:val="000000" w:themeColor="text1"/>
        </w:rPr>
        <w:t xml:space="preserve">published by </w:t>
      </w:r>
      <w:r w:rsidR="005B4B51">
        <w:rPr>
          <w:color w:val="000000" w:themeColor="text1"/>
        </w:rPr>
        <w:t xml:space="preserve">UW officials </w:t>
      </w:r>
      <w:r>
        <w:rPr>
          <w:color w:val="000000" w:themeColor="text1"/>
        </w:rPr>
        <w:t xml:space="preserve">first group </w:t>
      </w:r>
      <w:r w:rsidR="00FF56BD">
        <w:rPr>
          <w:color w:val="000000" w:themeColor="text1"/>
        </w:rPr>
        <w:t>individuals</w:t>
      </w:r>
      <w:r>
        <w:rPr>
          <w:color w:val="000000" w:themeColor="text1"/>
        </w:rPr>
        <w:t xml:space="preserve"> into various categories, (</w:t>
      </w:r>
      <w:r w:rsidR="00A864EB">
        <w:rPr>
          <w:color w:val="000000" w:themeColor="text1"/>
        </w:rPr>
        <w:t>e.g.</w:t>
      </w:r>
      <w:r>
        <w:rPr>
          <w:color w:val="000000" w:themeColor="text1"/>
        </w:rPr>
        <w:t xml:space="preserve"> by college, by gender, by ethnicity) and then show aggregated counts or averages</w:t>
      </w:r>
      <w:r w:rsidR="004E268C">
        <w:rPr>
          <w:color w:val="000000" w:themeColor="text1"/>
        </w:rPr>
        <w:t xml:space="preserve"> for those groups</w:t>
      </w:r>
      <w:r>
        <w:rPr>
          <w:color w:val="000000" w:themeColor="text1"/>
        </w:rPr>
        <w:t>.  While these reports do not display individual attributes (</w:t>
      </w:r>
      <w:r w:rsidR="00A864EB">
        <w:rPr>
          <w:color w:val="000000" w:themeColor="text1"/>
        </w:rPr>
        <w:t>e.g</w:t>
      </w:r>
      <w:r>
        <w:rPr>
          <w:color w:val="000000" w:themeColor="text1"/>
        </w:rPr>
        <w:t>. name, address)</w:t>
      </w:r>
      <w:r w:rsidR="0080598B">
        <w:rPr>
          <w:color w:val="000000" w:themeColor="text1"/>
        </w:rPr>
        <w:t>, it may be possible to deduce PII in</w:t>
      </w:r>
      <w:r>
        <w:rPr>
          <w:color w:val="000000" w:themeColor="text1"/>
        </w:rPr>
        <w:t xml:space="preserve"> relatively small group sizes.  For example, if </w:t>
      </w:r>
      <w:r w:rsidR="004E268C">
        <w:rPr>
          <w:color w:val="000000" w:themeColor="text1"/>
        </w:rPr>
        <w:t xml:space="preserve">a </w:t>
      </w:r>
      <w:r w:rsidR="0080598B">
        <w:rPr>
          <w:color w:val="000000" w:themeColor="text1"/>
        </w:rPr>
        <w:t xml:space="preserve">report of graduation rates by race and ethnicity reveals that there is one African American in the cohort and that the graduation rate for African Americans is 0%, </w:t>
      </w:r>
      <w:r w:rsidR="00A864EB">
        <w:rPr>
          <w:color w:val="000000" w:themeColor="text1"/>
        </w:rPr>
        <w:t>it</w:t>
      </w:r>
      <w:r w:rsidR="0080598B">
        <w:rPr>
          <w:color w:val="000000" w:themeColor="text1"/>
        </w:rPr>
        <w:t xml:space="preserve"> would result in disclosure: anyone who knows this student could deduce  his or her graduation status from the report. </w:t>
      </w:r>
    </w:p>
    <w:p w14:paraId="2A30FB11" w14:textId="77777777" w:rsidR="00EA1593" w:rsidRDefault="00EA1593" w:rsidP="00EA1593">
      <w:pPr>
        <w:pStyle w:val="ListParagraph"/>
        <w:ind w:left="0"/>
        <w:rPr>
          <w:rFonts w:ascii="Verdana" w:hAnsi="Verdana" w:cs="Vrinda"/>
          <w:b/>
          <w:sz w:val="18"/>
          <w:szCs w:val="18"/>
        </w:rPr>
      </w:pPr>
    </w:p>
    <w:p w14:paraId="341C8E46" w14:textId="77777777" w:rsidR="00D82FE1" w:rsidRPr="00EA1593" w:rsidRDefault="00FD3843" w:rsidP="00EA1593">
      <w:pPr>
        <w:pStyle w:val="ListParagraph"/>
        <w:ind w:left="0"/>
        <w:rPr>
          <w:rFonts w:ascii="Verdana" w:hAnsi="Verdana" w:cs="Vrinda"/>
          <w:b/>
        </w:rPr>
      </w:pPr>
      <w:r>
        <w:rPr>
          <w:rFonts w:ascii="Verdana" w:hAnsi="Verdana" w:cs="Vrinda"/>
          <w:b/>
        </w:rPr>
        <w:t>Observations, Recommendations and Agreements</w:t>
      </w:r>
    </w:p>
    <w:p w14:paraId="468AD7C4" w14:textId="2DD5F514" w:rsidR="00373948" w:rsidRDefault="004E268C" w:rsidP="006414CD">
      <w:pPr>
        <w:spacing w:line="240" w:lineRule="auto"/>
        <w:rPr>
          <w:rFonts w:ascii="Calibri" w:eastAsia="Times New Roman" w:hAnsi="Calibri" w:cs="Times New Roman"/>
          <w:color w:val="000000" w:themeColor="text1"/>
          <w:lang w:bidi="ar-SA"/>
        </w:rPr>
      </w:pPr>
      <w:r>
        <w:rPr>
          <w:rFonts w:ascii="Calibri" w:eastAsia="Times New Roman" w:hAnsi="Calibri" w:cs="Times New Roman"/>
          <w:color w:val="000000" w:themeColor="text1"/>
          <w:lang w:bidi="ar-SA"/>
        </w:rPr>
        <w:t>The following is a summary of the major observation</w:t>
      </w:r>
      <w:r w:rsidR="0080598B">
        <w:rPr>
          <w:rFonts w:ascii="Calibri" w:eastAsia="Times New Roman" w:hAnsi="Calibri" w:cs="Times New Roman"/>
          <w:color w:val="000000" w:themeColor="text1"/>
          <w:lang w:bidi="ar-SA"/>
        </w:rPr>
        <w:t>s</w:t>
      </w:r>
      <w:r>
        <w:rPr>
          <w:rFonts w:ascii="Calibri" w:eastAsia="Times New Roman" w:hAnsi="Calibri" w:cs="Times New Roman"/>
          <w:color w:val="000000" w:themeColor="text1"/>
          <w:lang w:bidi="ar-SA"/>
        </w:rPr>
        <w:t xml:space="preserve"> and </w:t>
      </w:r>
      <w:r w:rsidR="00990BDE">
        <w:rPr>
          <w:rFonts w:ascii="Calibri" w:eastAsia="Times New Roman" w:hAnsi="Calibri" w:cs="Times New Roman"/>
          <w:color w:val="000000" w:themeColor="text1"/>
          <w:lang w:bidi="ar-SA"/>
        </w:rPr>
        <w:t xml:space="preserve">best-practice </w:t>
      </w:r>
      <w:r>
        <w:rPr>
          <w:rFonts w:ascii="Calibri" w:eastAsia="Times New Roman" w:hAnsi="Calibri" w:cs="Times New Roman"/>
          <w:color w:val="000000" w:themeColor="text1"/>
          <w:lang w:bidi="ar-SA"/>
        </w:rPr>
        <w:t xml:space="preserve">recommendations.  </w:t>
      </w:r>
      <w:r w:rsidR="00990BDE">
        <w:rPr>
          <w:rFonts w:ascii="Calibri" w:eastAsia="Times New Roman" w:hAnsi="Calibri" w:cs="Times New Roman"/>
          <w:color w:val="000000" w:themeColor="text1"/>
          <w:lang w:bidi="ar-SA"/>
        </w:rPr>
        <w:t>Data users</w:t>
      </w:r>
      <w:r w:rsidR="00717A09">
        <w:rPr>
          <w:rFonts w:ascii="Calibri" w:eastAsia="Times New Roman" w:hAnsi="Calibri" w:cs="Times New Roman"/>
          <w:color w:val="000000" w:themeColor="text1"/>
          <w:lang w:bidi="ar-SA"/>
        </w:rPr>
        <w:t xml:space="preserve"> </w:t>
      </w:r>
      <w:r w:rsidR="00F31314">
        <w:rPr>
          <w:rFonts w:ascii="Calibri" w:eastAsia="Times New Roman" w:hAnsi="Calibri" w:cs="Times New Roman"/>
          <w:color w:val="000000" w:themeColor="text1"/>
          <w:lang w:bidi="ar-SA"/>
        </w:rPr>
        <w:t>who</w:t>
      </w:r>
      <w:r w:rsidR="00717A09">
        <w:rPr>
          <w:rFonts w:ascii="Calibri" w:eastAsia="Times New Roman" w:hAnsi="Calibri" w:cs="Times New Roman"/>
          <w:color w:val="000000" w:themeColor="text1"/>
          <w:lang w:bidi="ar-SA"/>
        </w:rPr>
        <w:t xml:space="preserve"> publish aggregate reports </w:t>
      </w:r>
      <w:r w:rsidR="00990BDE">
        <w:rPr>
          <w:rFonts w:ascii="Calibri" w:eastAsia="Times New Roman" w:hAnsi="Calibri" w:cs="Times New Roman"/>
          <w:color w:val="000000" w:themeColor="text1"/>
          <w:lang w:bidi="ar-SA"/>
        </w:rPr>
        <w:t xml:space="preserve">are required </w:t>
      </w:r>
      <w:r w:rsidR="0080598B">
        <w:rPr>
          <w:rFonts w:ascii="Calibri" w:eastAsia="Times New Roman" w:hAnsi="Calibri" w:cs="Times New Roman"/>
          <w:color w:val="000000" w:themeColor="text1"/>
          <w:lang w:bidi="ar-SA"/>
        </w:rPr>
        <w:t xml:space="preserve">to </w:t>
      </w:r>
      <w:r w:rsidR="00F31314">
        <w:rPr>
          <w:rFonts w:ascii="Calibri" w:eastAsia="Times New Roman" w:hAnsi="Calibri" w:cs="Times New Roman"/>
          <w:color w:val="000000" w:themeColor="text1"/>
          <w:lang w:bidi="ar-SA"/>
        </w:rPr>
        <w:t xml:space="preserve">follow these best practices.  If there are questions regarding the interpretation or application of these best practices, UW </w:t>
      </w:r>
      <w:r w:rsidR="003F6A01">
        <w:rPr>
          <w:rFonts w:ascii="Calibri" w:eastAsia="Times New Roman" w:hAnsi="Calibri" w:cs="Times New Roman"/>
          <w:color w:val="000000" w:themeColor="text1"/>
          <w:lang w:bidi="ar-SA"/>
        </w:rPr>
        <w:t xml:space="preserve">designated </w:t>
      </w:r>
      <w:r w:rsidR="00F31314">
        <w:rPr>
          <w:rFonts w:ascii="Calibri" w:eastAsia="Times New Roman" w:hAnsi="Calibri" w:cs="Times New Roman"/>
          <w:color w:val="000000" w:themeColor="text1"/>
          <w:lang w:bidi="ar-SA"/>
        </w:rPr>
        <w:t>officials should request clarification from appropriate Data Custodians and/or the Data Management Committee</w:t>
      </w:r>
      <w:r w:rsidR="00990BDE">
        <w:rPr>
          <w:rFonts w:ascii="Calibri" w:eastAsia="Times New Roman" w:hAnsi="Calibri" w:cs="Times New Roman"/>
          <w:color w:val="000000" w:themeColor="text1"/>
          <w:lang w:bidi="ar-SA"/>
        </w:rPr>
        <w:t xml:space="preserve"> (DMC)</w:t>
      </w:r>
      <w:r w:rsidR="00F31314">
        <w:rPr>
          <w:rFonts w:ascii="Calibri" w:eastAsia="Times New Roman" w:hAnsi="Calibri" w:cs="Times New Roman"/>
          <w:color w:val="000000" w:themeColor="text1"/>
          <w:lang w:bidi="ar-SA"/>
        </w:rPr>
        <w:t xml:space="preserve">. </w:t>
      </w:r>
    </w:p>
    <w:p w14:paraId="578446DB" w14:textId="34343F20" w:rsidR="002C2BC1" w:rsidRDefault="000E6345" w:rsidP="00717A09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T</w:t>
      </w:r>
      <w:r w:rsidR="003F6A0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he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risk and</w:t>
      </w:r>
      <w:r w:rsidR="002C2BC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strategies for avoiding </w:t>
      </w:r>
      <w:r w:rsidR="00263EE8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the </w:t>
      </w:r>
      <w:r w:rsidR="002C2BC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accidental disclosure of </w:t>
      </w:r>
      <w:r w:rsidR="00263EE8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PII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should be evaluated on a case-by-</w:t>
      </w:r>
      <w:r w:rsidR="003F6A0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case bas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</w:t>
      </w:r>
      <w:r w:rsidR="003F6A0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s</w:t>
      </w:r>
      <w:r w:rsidR="002C2BC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.</w:t>
      </w:r>
    </w:p>
    <w:p w14:paraId="5992DBC1" w14:textId="1F93CEA5" w:rsidR="00717A09" w:rsidRPr="00717A09" w:rsidRDefault="00717A09" w:rsidP="00717A09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Publishing aggregate reports 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refers to</w:t>
      </w:r>
      <w:r w:rsidR="00263EE8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making the reports generally available on </w:t>
      </w:r>
      <w:r w:rsidR="003F6A0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the 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UW </w:t>
      </w:r>
      <w:r w:rsidR="003F6A0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Tableau Public 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server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with broad user access</w:t>
      </w:r>
      <w:r w:rsidR="00263EE8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, or publishing physical copies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.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The UW Tableau Public </w:t>
      </w:r>
      <w:r w:rsidR="00561427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web site</w:t>
      </w:r>
      <w:r w:rsidR="003F6A0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does not have a 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“login” or university-</w:t>
      </w:r>
      <w:r w:rsidR="00561427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controlled authentication.</w:t>
      </w:r>
    </w:p>
    <w:p w14:paraId="72055420" w14:textId="07301EA8" w:rsidR="00561427" w:rsidRDefault="004E268C" w:rsidP="00717A09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 w:rsidRPr="00717A09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lastRenderedPageBreak/>
        <w:t xml:space="preserve">The risk of disclosing PII in aggregate data 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should</w:t>
      </w:r>
      <w:r w:rsidR="000E6345" w:rsidRPr="00717A09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 w:rsidRPr="00717A09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be assessed at the lowest available level of aggregation</w:t>
      </w:r>
      <w:r w:rsidR="00F713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, taking into account the sensitivity of the data, in concert with the relevant Data Custodian</w:t>
      </w:r>
      <w:r w:rsidR="0014775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.</w:t>
      </w:r>
    </w:p>
    <w:p w14:paraId="45BEA009" w14:textId="4E90FDA0" w:rsidR="00263EE8" w:rsidRPr="007809EF" w:rsidRDefault="000E6345" w:rsidP="007809EF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Generally, the</w:t>
      </w:r>
      <w:r w:rsidR="00263EE8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number of 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individuals</w:t>
      </w:r>
      <w:r w:rsidR="00263EE8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in the smallest group at the lowest available level of aggregation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should be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at least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1</w:t>
      </w:r>
      <w:r w:rsidR="00263EE8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0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.</w:t>
      </w:r>
    </w:p>
    <w:p w14:paraId="41B261EF" w14:textId="2FA905CB" w:rsidR="00263EE8" w:rsidRDefault="00263EE8" w:rsidP="00717A09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In the presence of cell sizes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that are smaller than 10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, the 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following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strategies 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should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be employed to 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reduce the risk of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disclosure</w:t>
      </w:r>
      <w:r w:rsidR="0091306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of PII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: 1)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suppression</w:t>
      </w:r>
      <w:r w:rsidR="00F713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or</w:t>
      </w:r>
      <w:r w:rsidR="00F713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remov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al of </w:t>
      </w:r>
      <w:r w:rsidR="00F713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information about small cell sizes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;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or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 w:rsidR="000E634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2) 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reduc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tion of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the precision of the data by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rounding or providing ranges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.</w:t>
      </w:r>
      <w:r w:rsidR="00F713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The choice of strategy will be determined by the sensitivity of the data and the purpose of the aggregate report.</w:t>
      </w:r>
    </w:p>
    <w:p w14:paraId="6F6E3B20" w14:textId="53E9C07E" w:rsidR="004E268C" w:rsidRDefault="00990BDE" w:rsidP="006414CD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The data publisher </w:t>
      </w:r>
      <w:r w:rsidR="0091306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should </w:t>
      </w:r>
      <w:r w:rsidR="0014775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clearly indicate and document which techniques are being applied</w:t>
      </w:r>
      <w:r w:rsidR="0091306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to reduce the risk of disclosure of PII</w:t>
      </w:r>
      <w:r w:rsidR="00147755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.</w:t>
      </w:r>
    </w:p>
    <w:p w14:paraId="5158A081" w14:textId="382D8D71" w:rsidR="007809EF" w:rsidRPr="004C6652" w:rsidRDefault="00D05FC6" w:rsidP="005C5E31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Only aggregated data should be stored or extracted in cube</w:t>
      </w:r>
      <w:r w:rsidR="007626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s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or </w:t>
      </w:r>
      <w:r w:rsidR="007626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data sets used by </w:t>
      </w:r>
      <w:r w:rsidR="007C72A1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reports</w:t>
      </w:r>
      <w:bookmarkStart w:id="0" w:name="_GoBack"/>
      <w:bookmarkEnd w:id="0"/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. Data at the lowest level of detail should only be accessible through a drill-through action executed </w:t>
      </w:r>
      <w:r w:rsidR="007626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against source database using live connection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. This will ensure that proper </w:t>
      </w:r>
      <w:r w:rsidR="007626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Data Access Control (DAC)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permissions a</w:t>
      </w:r>
      <w:r w:rsidR="007626C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re leveraged to access</w:t>
      </w: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data.</w:t>
      </w:r>
    </w:p>
    <w:p w14:paraId="49AA91CD" w14:textId="4D2A578C" w:rsidR="009F0C49" w:rsidRPr="007809EF" w:rsidRDefault="009F0C49" w:rsidP="00D91B0E">
      <w:pPr>
        <w:pStyle w:val="ListParagraph"/>
        <w:numPr>
          <w:ilvl w:val="0"/>
          <w:numId w:val="5"/>
        </w:num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In the case of any accidental disclosure of PII, the department which built and publ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ished the Tableau visualization</w:t>
      </w:r>
      <w:r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and corresponding data sets, </w:t>
      </w:r>
      <w:r w:rsidR="004C6652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is</w:t>
      </w:r>
      <w:r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responsible for</w:t>
      </w:r>
      <w:r w:rsidR="00967ECF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: 1)</w:t>
      </w:r>
      <w:r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 w:rsidR="00967ECF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notifying the Office of the C</w:t>
      </w:r>
      <w:r w:rsidR="000D0DCB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hief Information Security Officer 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(CISO) </w:t>
      </w:r>
      <w:r w:rsidR="00967ECF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according to Administrative Policy Statement 2.5 </w:t>
      </w:r>
      <w:r w:rsidR="0008703A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Information</w:t>
      </w:r>
      <w:r w:rsidR="00967ECF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Security and Privacy </w:t>
      </w:r>
      <w:r w:rsidR="0008703A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Incident</w:t>
      </w:r>
      <w:r w:rsidR="00967ECF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Management Policy; and 2) </w:t>
      </w:r>
      <w:r w:rsidR="00E413B0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paying </w:t>
      </w:r>
      <w:r w:rsidR="000D0DCB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all</w:t>
      </w:r>
      <w:r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  <w:r w:rsidR="000D0DCB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expenses </w:t>
      </w:r>
      <w:r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related to </w:t>
      </w:r>
      <w:r w:rsidR="00E413B0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the </w:t>
      </w:r>
      <w:r w:rsidR="0008703A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accidental</w:t>
      </w:r>
      <w:r w:rsidR="00E413B0"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disclosure.</w:t>
      </w:r>
      <w:r w:rsidRPr="007809EF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</w:t>
      </w:r>
    </w:p>
    <w:p w14:paraId="72DF29BE" w14:textId="77777777" w:rsidR="006414CD" w:rsidRPr="00EA1593" w:rsidRDefault="006414CD" w:rsidP="006414CD">
      <w:pPr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Advisory Opinions Sought</w:t>
      </w:r>
    </w:p>
    <w:p w14:paraId="0B587867" w14:textId="03F467D6" w:rsidR="000609A7" w:rsidRPr="00D91B0E" w:rsidRDefault="005B0428" w:rsidP="00D91B0E">
      <w:pPr>
        <w:spacing w:line="240" w:lineRule="auto"/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</w:pPr>
      <w:r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These best practices and guidelines 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were developed with input from the Institutional Analysis department in Planning &amp; Management, the Graduate School, Enrollment Management, CISO</w:t>
      </w:r>
      <w:r w:rsidR="00D05FC6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, Human </w:t>
      </w:r>
      <w:proofErr w:type="spellStart"/>
      <w:r w:rsidR="00D05FC6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Resrouces</w:t>
      </w:r>
      <w:proofErr w:type="spellEnd"/>
      <w:r w:rsidR="00D05FC6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>, Academic Human Resources</w:t>
      </w:r>
      <w:r w:rsidR="00990BDE">
        <w:rPr>
          <w:rStyle w:val="Strong"/>
          <w:rFonts w:ascii="Calibri" w:eastAsia="Times New Roman" w:hAnsi="Calibri" w:cs="Times New Roman"/>
          <w:b w:val="0"/>
          <w:bCs w:val="0"/>
          <w:color w:val="000000" w:themeColor="text1"/>
          <w:lang w:bidi="ar-SA"/>
        </w:rPr>
        <w:t xml:space="preserve"> and UW Information Technology. </w:t>
      </w:r>
    </w:p>
    <w:p w14:paraId="658CDD58" w14:textId="77777777" w:rsidR="00BC7A50" w:rsidRPr="00EA1593" w:rsidRDefault="00BC7A50" w:rsidP="00BC7A50">
      <w:pPr>
        <w:rPr>
          <w:rStyle w:val="Strong"/>
          <w:rFonts w:ascii="Verdana" w:hAnsi="Verdana"/>
        </w:rPr>
      </w:pPr>
      <w:r w:rsidRPr="00EA1593">
        <w:rPr>
          <w:rStyle w:val="Strong"/>
          <w:rFonts w:ascii="Verdana" w:hAnsi="Verdana"/>
        </w:rPr>
        <w:t>Concurrence</w:t>
      </w:r>
      <w:r w:rsidR="006414CD">
        <w:rPr>
          <w:rStyle w:val="Strong"/>
          <w:rFonts w:ascii="Verdana" w:hAnsi="Verdana"/>
        </w:rPr>
        <w:t xml:space="preserve"> / Responsibility</w:t>
      </w:r>
    </w:p>
    <w:p w14:paraId="68146B9B" w14:textId="77777777" w:rsidR="00BC7A50" w:rsidRPr="00EA1593" w:rsidRDefault="00BC7A50" w:rsidP="00BC7A50">
      <w:pPr>
        <w:rPr>
          <w:rStyle w:val="Strong"/>
          <w:rFonts w:ascii="Verdana" w:hAnsi="Verdana"/>
          <w:b w:val="0"/>
          <w:sz w:val="20"/>
          <w:szCs w:val="20"/>
        </w:rPr>
      </w:pPr>
      <w:r w:rsidRPr="00EA1593">
        <w:rPr>
          <w:rStyle w:val="Strong"/>
          <w:rFonts w:ascii="Verdana" w:hAnsi="Verdana"/>
          <w:b w:val="0"/>
          <w:sz w:val="20"/>
          <w:szCs w:val="20"/>
        </w:rPr>
        <w:t xml:space="preserve">The undersigned concur with </w:t>
      </w:r>
      <w:r w:rsidR="006414CD">
        <w:rPr>
          <w:rStyle w:val="Strong"/>
          <w:rFonts w:ascii="Verdana" w:hAnsi="Verdana"/>
          <w:b w:val="0"/>
          <w:sz w:val="20"/>
          <w:szCs w:val="20"/>
        </w:rPr>
        <w:t>observations,</w:t>
      </w:r>
      <w:r w:rsidR="002A06F9" w:rsidRPr="00EA1593">
        <w:rPr>
          <w:rStyle w:val="Strong"/>
          <w:rFonts w:ascii="Verdana" w:hAnsi="Verdana"/>
          <w:b w:val="0"/>
          <w:sz w:val="20"/>
          <w:szCs w:val="20"/>
        </w:rPr>
        <w:t xml:space="preserve"> recommendations </w:t>
      </w:r>
      <w:r w:rsidR="006414CD">
        <w:rPr>
          <w:rStyle w:val="Strong"/>
          <w:rFonts w:ascii="Verdana" w:hAnsi="Verdana"/>
          <w:b w:val="0"/>
          <w:sz w:val="20"/>
          <w:szCs w:val="20"/>
        </w:rPr>
        <w:t xml:space="preserve">and Agreement </w:t>
      </w:r>
      <w:r w:rsidR="002A06F9" w:rsidRPr="00EA1593">
        <w:rPr>
          <w:rStyle w:val="Strong"/>
          <w:rFonts w:ascii="Verdana" w:hAnsi="Verdana"/>
          <w:b w:val="0"/>
          <w:sz w:val="20"/>
          <w:szCs w:val="20"/>
        </w:rPr>
        <w:t>in this</w:t>
      </w:r>
      <w:r w:rsidRPr="00EA159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D9144E" w:rsidRPr="00EA1593">
        <w:rPr>
          <w:rStyle w:val="Strong"/>
          <w:rFonts w:ascii="Verdana" w:hAnsi="Verdana"/>
          <w:b w:val="0"/>
          <w:sz w:val="20"/>
          <w:szCs w:val="20"/>
        </w:rPr>
        <w:t>data</w:t>
      </w:r>
      <w:r w:rsidR="005B0428">
        <w:rPr>
          <w:rStyle w:val="Strong"/>
          <w:rFonts w:ascii="Verdana" w:hAnsi="Verdana"/>
          <w:b w:val="0"/>
          <w:sz w:val="20"/>
          <w:szCs w:val="20"/>
        </w:rPr>
        <w:t xml:space="preserve"> usage</w:t>
      </w:r>
      <w:r w:rsidR="00D9144E" w:rsidRPr="00EA1593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6414CD">
        <w:rPr>
          <w:rStyle w:val="Strong"/>
          <w:rFonts w:ascii="Verdana" w:hAnsi="Verdana"/>
          <w:b w:val="0"/>
          <w:sz w:val="20"/>
          <w:szCs w:val="20"/>
        </w:rPr>
        <w:t xml:space="preserve">guideline </w:t>
      </w:r>
      <w:r w:rsidR="00D9144E" w:rsidRPr="00EA1593">
        <w:rPr>
          <w:rStyle w:val="Strong"/>
          <w:rFonts w:ascii="Verdana" w:hAnsi="Verdana"/>
          <w:b w:val="0"/>
          <w:sz w:val="20"/>
          <w:szCs w:val="20"/>
        </w:rPr>
        <w:t>document</w:t>
      </w:r>
      <w:r w:rsidRPr="00EA1593">
        <w:rPr>
          <w:rStyle w:val="Strong"/>
          <w:rFonts w:ascii="Verdana" w:hAnsi="Verdana"/>
          <w:b w:val="0"/>
          <w:sz w:val="20"/>
          <w:szCs w:val="20"/>
        </w:rPr>
        <w:t>.</w:t>
      </w:r>
      <w:r w:rsidR="00EA1593" w:rsidRPr="00EA1593">
        <w:rPr>
          <w:rStyle w:val="Strong"/>
          <w:rFonts w:ascii="Verdana" w:hAnsi="Verdana"/>
          <w:b w:val="0"/>
          <w:sz w:val="20"/>
          <w:szCs w:val="20"/>
        </w:rPr>
        <w:t xml:space="preserve">  They understand the implied risks and endorse </w:t>
      </w:r>
      <w:r w:rsidR="005F2C0D" w:rsidRPr="005B0428">
        <w:rPr>
          <w:rStyle w:val="Strong"/>
          <w:rFonts w:ascii="Verdana" w:hAnsi="Verdana"/>
          <w:b w:val="0"/>
          <w:color w:val="000000" w:themeColor="text1"/>
          <w:sz w:val="20"/>
          <w:szCs w:val="20"/>
        </w:rPr>
        <w:t xml:space="preserve">summary of </w:t>
      </w:r>
      <w:r w:rsidR="005B0428">
        <w:rPr>
          <w:rStyle w:val="Strong"/>
          <w:rFonts w:ascii="Verdana" w:hAnsi="Verdana"/>
          <w:b w:val="0"/>
          <w:color w:val="000000" w:themeColor="text1"/>
          <w:sz w:val="20"/>
          <w:szCs w:val="20"/>
        </w:rPr>
        <w:t>the best practices into this guideline</w:t>
      </w:r>
      <w:r w:rsidR="00EA1593" w:rsidRPr="00EA1593">
        <w:rPr>
          <w:rStyle w:val="Strong"/>
          <w:rFonts w:ascii="Verdana" w:hAnsi="Verdana"/>
          <w:b w:val="0"/>
          <w:sz w:val="20"/>
          <w:szCs w:val="20"/>
        </w:rPr>
        <w:t>.</w:t>
      </w:r>
    </w:p>
    <w:p w14:paraId="72711610" w14:textId="77777777" w:rsidR="00820700" w:rsidRDefault="00820700" w:rsidP="00BC7A50">
      <w:pPr>
        <w:rPr>
          <w:rStyle w:val="Strong"/>
          <w:rFonts w:ascii="Verdana" w:hAnsi="Verdana"/>
          <w:sz w:val="20"/>
          <w:szCs w:val="20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3150"/>
        <w:gridCol w:w="1710"/>
      </w:tblGrid>
      <w:tr w:rsidR="00820700" w14:paraId="18EA049F" w14:textId="77777777" w:rsidTr="00820700">
        <w:trPr>
          <w:trHeight w:val="80"/>
        </w:trPr>
        <w:tc>
          <w:tcPr>
            <w:tcW w:w="4878" w:type="dxa"/>
            <w:tcBorders>
              <w:bottom w:val="single" w:sz="4" w:space="0" w:color="000000" w:themeColor="text1"/>
            </w:tcBorders>
          </w:tcPr>
          <w:p w14:paraId="77684E35" w14:textId="77777777" w:rsidR="00820700" w:rsidRDefault="00820700" w:rsidP="00BC7A50">
            <w:pPr>
              <w:rPr>
                <w:rStyle w:val="Strong"/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14:paraId="778D44C1" w14:textId="77777777" w:rsidR="00820700" w:rsidRPr="00820700" w:rsidRDefault="00820700" w:rsidP="008207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0193A9E9" w14:textId="77777777" w:rsidR="00820700" w:rsidRDefault="00820700" w:rsidP="00BC7A50">
            <w:pPr>
              <w:rPr>
                <w:rStyle w:val="Strong"/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820700" w14:paraId="3E52803E" w14:textId="77777777" w:rsidTr="00820700">
        <w:trPr>
          <w:trHeight w:val="650"/>
        </w:trPr>
        <w:tc>
          <w:tcPr>
            <w:tcW w:w="4878" w:type="dxa"/>
            <w:tcBorders>
              <w:top w:val="single" w:sz="4" w:space="0" w:color="000000" w:themeColor="text1"/>
            </w:tcBorders>
          </w:tcPr>
          <w:p w14:paraId="64C00B59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Signature</w:t>
            </w:r>
          </w:p>
          <w:p w14:paraId="36803488" w14:textId="1D311C38" w:rsidR="00820700" w:rsidRPr="002A06F9" w:rsidRDefault="005B0428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Strong"/>
                <w:rFonts w:ascii="Verdana" w:hAnsi="Verdana"/>
                <w:b w:val="0"/>
                <w:sz w:val="16"/>
                <w:szCs w:val="16"/>
              </w:rPr>
              <w:t xml:space="preserve">Vice Provost, </w:t>
            </w:r>
            <w:r w:rsidR="00170E83">
              <w:rPr>
                <w:rStyle w:val="Strong"/>
                <w:rFonts w:ascii="Verdana" w:hAnsi="Verdana"/>
                <w:b w:val="0"/>
                <w:sz w:val="16"/>
                <w:szCs w:val="16"/>
              </w:rPr>
              <w:t>Planning and Budgeting, Gary Qua</w:t>
            </w:r>
            <w:r>
              <w:rPr>
                <w:rStyle w:val="Strong"/>
                <w:rFonts w:ascii="Verdana" w:hAnsi="Verdana"/>
                <w:b w:val="0"/>
                <w:sz w:val="16"/>
                <w:szCs w:val="16"/>
              </w:rPr>
              <w:t>rfoth</w:t>
            </w:r>
          </w:p>
          <w:p w14:paraId="6F6C0372" w14:textId="77777777" w:rsidR="00820700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(</w:t>
            </w:r>
            <w:r w:rsidR="005B0428">
              <w:rPr>
                <w:rStyle w:val="Strong"/>
                <w:rFonts w:ascii="Verdana" w:hAnsi="Verdana"/>
                <w:b w:val="0"/>
                <w:sz w:val="16"/>
                <w:szCs w:val="16"/>
              </w:rPr>
              <w:t>Co-Chair of Data Management Committee</w:t>
            </w: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)</w:t>
            </w:r>
          </w:p>
          <w:p w14:paraId="1DCD158A" w14:textId="77777777" w:rsidR="00373948" w:rsidRDefault="00373948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  <w:p w14:paraId="5FC022FA" w14:textId="77777777" w:rsidR="00373948" w:rsidRPr="002A06F9" w:rsidRDefault="00373948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</w:tcBorders>
          </w:tcPr>
          <w:p w14:paraId="690AB479" w14:textId="77777777" w:rsidR="00820700" w:rsidRPr="002A06F9" w:rsidRDefault="00820700" w:rsidP="0082070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14:paraId="5ABA7620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Date</w:t>
            </w:r>
          </w:p>
        </w:tc>
      </w:tr>
      <w:tr w:rsidR="00820700" w14:paraId="69F816B9" w14:textId="77777777" w:rsidTr="00820700">
        <w:trPr>
          <w:trHeight w:val="110"/>
        </w:trPr>
        <w:tc>
          <w:tcPr>
            <w:tcW w:w="4878" w:type="dxa"/>
            <w:tcBorders>
              <w:bottom w:val="single" w:sz="4" w:space="0" w:color="000000" w:themeColor="text1"/>
            </w:tcBorders>
          </w:tcPr>
          <w:p w14:paraId="7E0EA376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14:paraId="12A1D703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65C24C5A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</w:tc>
      </w:tr>
      <w:tr w:rsidR="00820700" w14:paraId="63329B80" w14:textId="77777777" w:rsidTr="00820700">
        <w:trPr>
          <w:trHeight w:val="870"/>
        </w:trPr>
        <w:tc>
          <w:tcPr>
            <w:tcW w:w="4878" w:type="dxa"/>
            <w:tcBorders>
              <w:top w:val="single" w:sz="4" w:space="0" w:color="000000" w:themeColor="text1"/>
            </w:tcBorders>
          </w:tcPr>
          <w:p w14:paraId="6D8CA4F9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Signature</w:t>
            </w:r>
          </w:p>
          <w:p w14:paraId="47A1E8A1" w14:textId="77777777" w:rsidR="00820700" w:rsidRPr="002A06F9" w:rsidRDefault="005B0428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Strong"/>
                <w:rFonts w:ascii="Verdana" w:hAnsi="Verdana"/>
                <w:b w:val="0"/>
                <w:sz w:val="16"/>
                <w:szCs w:val="16"/>
              </w:rPr>
              <w:t>Associate Dean, Arts and Sciences, Steve Majeski</w:t>
            </w:r>
          </w:p>
          <w:p w14:paraId="29665237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(</w:t>
            </w:r>
            <w:r w:rsidR="005B0428">
              <w:rPr>
                <w:rStyle w:val="Strong"/>
                <w:rFonts w:ascii="Verdana" w:hAnsi="Verdana"/>
                <w:b w:val="0"/>
                <w:sz w:val="16"/>
                <w:szCs w:val="16"/>
              </w:rPr>
              <w:t>Co-</w:t>
            </w:r>
            <w:r w:rsidR="005F2C0D">
              <w:rPr>
                <w:rStyle w:val="Strong"/>
                <w:rFonts w:ascii="Verdana" w:hAnsi="Verdana"/>
                <w:b w:val="0"/>
                <w:sz w:val="16"/>
                <w:szCs w:val="16"/>
              </w:rPr>
              <w:t>Chair of Data Management Committee</w:t>
            </w: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)</w:t>
            </w:r>
          </w:p>
          <w:p w14:paraId="556CC6C5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</w:tcBorders>
          </w:tcPr>
          <w:p w14:paraId="491255A6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14:paraId="5F6C923A" w14:textId="77777777" w:rsidR="00820700" w:rsidRPr="002A06F9" w:rsidRDefault="00820700" w:rsidP="00BC7A50">
            <w:pPr>
              <w:rPr>
                <w:rStyle w:val="Strong"/>
                <w:rFonts w:ascii="Verdana" w:hAnsi="Verdana"/>
                <w:b w:val="0"/>
                <w:sz w:val="16"/>
                <w:szCs w:val="16"/>
              </w:rPr>
            </w:pPr>
            <w:r w:rsidRPr="002A06F9">
              <w:rPr>
                <w:rStyle w:val="Strong"/>
                <w:rFonts w:ascii="Verdana" w:hAnsi="Verdana"/>
                <w:b w:val="0"/>
                <w:sz w:val="16"/>
                <w:szCs w:val="16"/>
              </w:rPr>
              <w:t>Date</w:t>
            </w:r>
          </w:p>
        </w:tc>
      </w:tr>
    </w:tbl>
    <w:p w14:paraId="14F91F92" w14:textId="77777777" w:rsidR="00820700" w:rsidRPr="00426167" w:rsidRDefault="00820700" w:rsidP="00645FF4">
      <w:pPr>
        <w:rPr>
          <w:rStyle w:val="Strong"/>
          <w:rFonts w:ascii="Verdana" w:hAnsi="Verdana"/>
          <w:b w:val="0"/>
          <w:sz w:val="20"/>
          <w:szCs w:val="20"/>
        </w:rPr>
      </w:pPr>
    </w:p>
    <w:sectPr w:rsidR="00820700" w:rsidRPr="00426167" w:rsidSect="00DA010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99BF9" w14:textId="77777777" w:rsidR="00F32CF6" w:rsidRDefault="00F32CF6" w:rsidP="00170A41">
      <w:pPr>
        <w:spacing w:after="0" w:line="240" w:lineRule="auto"/>
      </w:pPr>
      <w:r>
        <w:separator/>
      </w:r>
    </w:p>
  </w:endnote>
  <w:endnote w:type="continuationSeparator" w:id="0">
    <w:p w14:paraId="3EC04A86" w14:textId="77777777" w:rsidR="00F32CF6" w:rsidRDefault="00F32CF6" w:rsidP="0017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9323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A5EE9CB" w14:textId="77777777" w:rsidR="00147755" w:rsidRDefault="00147755" w:rsidP="00625EA6">
            <w:pPr>
              <w:pStyle w:val="Footer"/>
              <w:tabs>
                <w:tab w:val="clear" w:pos="4680"/>
                <w:tab w:val="clear" w:pos="9360"/>
              </w:tabs>
              <w:rPr>
                <w:b/>
                <w:sz w:val="24"/>
                <w:szCs w:val="24"/>
              </w:rPr>
            </w:pPr>
            <w:r w:rsidRPr="00BD49E6">
              <w:rPr>
                <w:sz w:val="20"/>
                <w:szCs w:val="20"/>
              </w:rPr>
              <w:t>Document Location:</w:t>
            </w:r>
            <w:r>
              <w:t xml:space="preserve">  </w:t>
            </w:r>
            <w:hyperlink r:id="rId1" w:history="1">
              <w:r w:rsidRPr="00BD49E6">
                <w:rPr>
                  <w:rStyle w:val="Hyperlink"/>
                  <w:sz w:val="20"/>
                  <w:szCs w:val="20"/>
                </w:rPr>
                <w:t>https://www.washington.edu/provost/oim/dmc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72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72A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763BD215" w14:textId="77777777" w:rsidR="00147755" w:rsidRDefault="00147755" w:rsidP="00625EA6">
            <w:pPr>
              <w:pStyle w:val="Footer"/>
              <w:tabs>
                <w:tab w:val="clear" w:pos="4680"/>
                <w:tab w:val="clear" w:pos="9360"/>
              </w:tabs>
            </w:pPr>
            <w:r w:rsidRPr="00BD49E6">
              <w:rPr>
                <w:sz w:val="20"/>
                <w:szCs w:val="20"/>
              </w:rPr>
              <w:t>Questions regarding this document should be emailed to:</w:t>
            </w:r>
            <w:r w:rsidRPr="00625EA6">
              <w:rPr>
                <w:sz w:val="24"/>
                <w:szCs w:val="24"/>
              </w:rPr>
              <w:t xml:space="preserve">  </w:t>
            </w:r>
            <w:hyperlink r:id="rId2" w:history="1">
              <w:r w:rsidRPr="00BD49E6">
                <w:rPr>
                  <w:rStyle w:val="Hyperlink"/>
                  <w:sz w:val="20"/>
                  <w:szCs w:val="20"/>
                </w:rPr>
                <w:t>dmc-support@u.washington.edu</w:t>
              </w:r>
            </w:hyperlink>
            <w:r w:rsidRPr="00BD49E6">
              <w:rPr>
                <w:b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054EB" w14:textId="77777777" w:rsidR="00F32CF6" w:rsidRDefault="00F32CF6" w:rsidP="00170A41">
      <w:pPr>
        <w:spacing w:after="0" w:line="240" w:lineRule="auto"/>
      </w:pPr>
      <w:r>
        <w:separator/>
      </w:r>
    </w:p>
  </w:footnote>
  <w:footnote w:type="continuationSeparator" w:id="0">
    <w:p w14:paraId="0837421B" w14:textId="77777777" w:rsidR="00F32CF6" w:rsidRDefault="00F32CF6" w:rsidP="0017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5478"/>
    </w:tblGrid>
    <w:tr w:rsidR="00147755" w14:paraId="32E798D9" w14:textId="77777777" w:rsidTr="00170A41">
      <w:tc>
        <w:tcPr>
          <w:tcW w:w="4530" w:type="dxa"/>
        </w:tcPr>
        <w:p w14:paraId="7C322145" w14:textId="2F609F42" w:rsidR="00147755" w:rsidRDefault="00147755" w:rsidP="00DC4E62">
          <w:r>
            <w:rPr>
              <w:noProof/>
              <w:lang w:bidi="ar-SA"/>
            </w:rPr>
            <w:drawing>
              <wp:inline distT="0" distB="0" distL="0" distR="0" wp14:anchorId="67375D55" wp14:editId="52046D6E">
                <wp:extent cx="2139950" cy="427990"/>
                <wp:effectExtent l="19050" t="0" r="0" b="0"/>
                <wp:docPr id="2" name="Picture 1" descr="Info_Mgmt_small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_Mgmt_small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406" cy="429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</w:tcPr>
        <w:p w14:paraId="2A333ED7" w14:textId="77777777" w:rsidR="00147755" w:rsidRDefault="00147755" w:rsidP="00F8239F">
          <w:pPr>
            <w:ind w:left="1064"/>
          </w:pPr>
          <w:r>
            <w:t>Data Management Committee</w:t>
          </w:r>
        </w:p>
        <w:p w14:paraId="0AFE91CE" w14:textId="77777777" w:rsidR="00147755" w:rsidRDefault="00147755" w:rsidP="00F8239F">
          <w:pPr>
            <w:ind w:left="1064"/>
          </w:pPr>
          <w:r>
            <w:t>Data Administration Agreement Document:</w:t>
          </w:r>
        </w:p>
        <w:p w14:paraId="632C3B30" w14:textId="42DB2267" w:rsidR="00147755" w:rsidRDefault="00147755" w:rsidP="006414CD">
          <w:pPr>
            <w:ind w:left="1064"/>
          </w:pPr>
          <w:r>
            <w:t xml:space="preserve">Document #: </w:t>
          </w:r>
          <w:r w:rsidR="000A3C55" w:rsidRPr="007809EF">
            <w:t>102</w:t>
          </w:r>
          <w:r w:rsidR="00D91B0E" w:rsidRPr="007809EF">
            <w:t>7</w:t>
          </w:r>
        </w:p>
      </w:tc>
    </w:tr>
  </w:tbl>
  <w:p w14:paraId="79DF92B2" w14:textId="692EED50" w:rsidR="00147755" w:rsidRDefault="00147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317F7"/>
    <w:multiLevelType w:val="hybridMultilevel"/>
    <w:tmpl w:val="82CC5B64"/>
    <w:lvl w:ilvl="0" w:tplc="E4CCF2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B518F784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905213"/>
    <w:multiLevelType w:val="hybridMultilevel"/>
    <w:tmpl w:val="D1C4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C5A6C"/>
    <w:multiLevelType w:val="hybridMultilevel"/>
    <w:tmpl w:val="3A22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D7E93"/>
    <w:multiLevelType w:val="hybridMultilevel"/>
    <w:tmpl w:val="2AB81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41"/>
    <w:rsid w:val="00022050"/>
    <w:rsid w:val="000609A7"/>
    <w:rsid w:val="00061631"/>
    <w:rsid w:val="00062876"/>
    <w:rsid w:val="000838DD"/>
    <w:rsid w:val="0008703A"/>
    <w:rsid w:val="000A3C55"/>
    <w:rsid w:val="000D0DCB"/>
    <w:rsid w:val="000E6345"/>
    <w:rsid w:val="00147755"/>
    <w:rsid w:val="00164BB1"/>
    <w:rsid w:val="00170A41"/>
    <w:rsid w:val="00170E83"/>
    <w:rsid w:val="00196B8E"/>
    <w:rsid w:val="0021494C"/>
    <w:rsid w:val="00216C32"/>
    <w:rsid w:val="002303F6"/>
    <w:rsid w:val="00241298"/>
    <w:rsid w:val="00263EE8"/>
    <w:rsid w:val="002A06F9"/>
    <w:rsid w:val="002B0350"/>
    <w:rsid w:val="002C2BC1"/>
    <w:rsid w:val="002D4795"/>
    <w:rsid w:val="002F0CD0"/>
    <w:rsid w:val="00307476"/>
    <w:rsid w:val="003113C0"/>
    <w:rsid w:val="0031205F"/>
    <w:rsid w:val="0033571A"/>
    <w:rsid w:val="003476CA"/>
    <w:rsid w:val="00373948"/>
    <w:rsid w:val="003D1CDD"/>
    <w:rsid w:val="003E6ECF"/>
    <w:rsid w:val="003F6A01"/>
    <w:rsid w:val="004109F3"/>
    <w:rsid w:val="004310D5"/>
    <w:rsid w:val="004649DA"/>
    <w:rsid w:val="0048151E"/>
    <w:rsid w:val="00496085"/>
    <w:rsid w:val="004C6652"/>
    <w:rsid w:val="004C72A3"/>
    <w:rsid w:val="004D6273"/>
    <w:rsid w:val="004E268C"/>
    <w:rsid w:val="004F428B"/>
    <w:rsid w:val="00511DE1"/>
    <w:rsid w:val="00561427"/>
    <w:rsid w:val="005650EB"/>
    <w:rsid w:val="005777A1"/>
    <w:rsid w:val="005A340D"/>
    <w:rsid w:val="005B0428"/>
    <w:rsid w:val="005B4B51"/>
    <w:rsid w:val="005B62F3"/>
    <w:rsid w:val="005D768E"/>
    <w:rsid w:val="005F2C0D"/>
    <w:rsid w:val="005F7072"/>
    <w:rsid w:val="00602695"/>
    <w:rsid w:val="0060666C"/>
    <w:rsid w:val="006243BC"/>
    <w:rsid w:val="00625EA6"/>
    <w:rsid w:val="006414CD"/>
    <w:rsid w:val="00645FF4"/>
    <w:rsid w:val="00647C2C"/>
    <w:rsid w:val="00660554"/>
    <w:rsid w:val="006C081E"/>
    <w:rsid w:val="00712B9E"/>
    <w:rsid w:val="00717A09"/>
    <w:rsid w:val="00722A4B"/>
    <w:rsid w:val="007470A2"/>
    <w:rsid w:val="007626CF"/>
    <w:rsid w:val="00763474"/>
    <w:rsid w:val="00776EB2"/>
    <w:rsid w:val="007809EF"/>
    <w:rsid w:val="007A62DC"/>
    <w:rsid w:val="007B3B74"/>
    <w:rsid w:val="007C72A1"/>
    <w:rsid w:val="007F331F"/>
    <w:rsid w:val="0080598B"/>
    <w:rsid w:val="008061A9"/>
    <w:rsid w:val="0082025F"/>
    <w:rsid w:val="00820700"/>
    <w:rsid w:val="00832BB3"/>
    <w:rsid w:val="00856D96"/>
    <w:rsid w:val="00864F88"/>
    <w:rsid w:val="008A36B4"/>
    <w:rsid w:val="008C543D"/>
    <w:rsid w:val="008C6D24"/>
    <w:rsid w:val="0091306E"/>
    <w:rsid w:val="00967ECF"/>
    <w:rsid w:val="00990BDE"/>
    <w:rsid w:val="009A247B"/>
    <w:rsid w:val="009D24EE"/>
    <w:rsid w:val="009D2CFB"/>
    <w:rsid w:val="009D6CCC"/>
    <w:rsid w:val="009F0C49"/>
    <w:rsid w:val="00A00560"/>
    <w:rsid w:val="00A05864"/>
    <w:rsid w:val="00A454A5"/>
    <w:rsid w:val="00A864EB"/>
    <w:rsid w:val="00AE0E6D"/>
    <w:rsid w:val="00AE24B3"/>
    <w:rsid w:val="00AF190F"/>
    <w:rsid w:val="00B34D57"/>
    <w:rsid w:val="00B35CE9"/>
    <w:rsid w:val="00B363E2"/>
    <w:rsid w:val="00BA1799"/>
    <w:rsid w:val="00BC7A50"/>
    <w:rsid w:val="00BD2B46"/>
    <w:rsid w:val="00BD49E6"/>
    <w:rsid w:val="00BF4B5D"/>
    <w:rsid w:val="00BF65B6"/>
    <w:rsid w:val="00C04DA7"/>
    <w:rsid w:val="00C072DC"/>
    <w:rsid w:val="00C40B9A"/>
    <w:rsid w:val="00C45F04"/>
    <w:rsid w:val="00C5302C"/>
    <w:rsid w:val="00C90F73"/>
    <w:rsid w:val="00CA416C"/>
    <w:rsid w:val="00D05FC6"/>
    <w:rsid w:val="00D20F6C"/>
    <w:rsid w:val="00D26F28"/>
    <w:rsid w:val="00D30A29"/>
    <w:rsid w:val="00D82FE1"/>
    <w:rsid w:val="00D9144E"/>
    <w:rsid w:val="00D91B0E"/>
    <w:rsid w:val="00DA010C"/>
    <w:rsid w:val="00DA21C1"/>
    <w:rsid w:val="00DB6D2E"/>
    <w:rsid w:val="00DC0BAA"/>
    <w:rsid w:val="00DC4E62"/>
    <w:rsid w:val="00DF0852"/>
    <w:rsid w:val="00E023B7"/>
    <w:rsid w:val="00E1102C"/>
    <w:rsid w:val="00E25F30"/>
    <w:rsid w:val="00E413B0"/>
    <w:rsid w:val="00E44FC2"/>
    <w:rsid w:val="00E63A40"/>
    <w:rsid w:val="00EA1593"/>
    <w:rsid w:val="00EB48F7"/>
    <w:rsid w:val="00EC0D23"/>
    <w:rsid w:val="00EC44A7"/>
    <w:rsid w:val="00ED36FE"/>
    <w:rsid w:val="00EF69A1"/>
    <w:rsid w:val="00EF73F5"/>
    <w:rsid w:val="00F31314"/>
    <w:rsid w:val="00F32CF6"/>
    <w:rsid w:val="00F43C88"/>
    <w:rsid w:val="00F471B1"/>
    <w:rsid w:val="00F57E25"/>
    <w:rsid w:val="00F63AE3"/>
    <w:rsid w:val="00F713CF"/>
    <w:rsid w:val="00F80A03"/>
    <w:rsid w:val="00F8239F"/>
    <w:rsid w:val="00FC1CB3"/>
    <w:rsid w:val="00FC21C2"/>
    <w:rsid w:val="00FD3843"/>
    <w:rsid w:val="00FF2A84"/>
    <w:rsid w:val="00FF3EC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02F4D"/>
  <w15:docId w15:val="{14395AB3-8A05-4C42-8055-424F657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50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70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41"/>
  </w:style>
  <w:style w:type="paragraph" w:styleId="Footer">
    <w:name w:val="footer"/>
    <w:basedOn w:val="Normal"/>
    <w:link w:val="FooterChar"/>
    <w:uiPriority w:val="99"/>
    <w:unhideWhenUsed/>
    <w:rsid w:val="00170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41"/>
  </w:style>
  <w:style w:type="paragraph" w:customStyle="1" w:styleId="bodytextuwt">
    <w:name w:val="body text uwt"/>
    <w:basedOn w:val="Normal"/>
    <w:rsid w:val="00170A41"/>
    <w:pPr>
      <w:spacing w:after="0" w:line="288" w:lineRule="exact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styleId="IntenseEmphasis">
    <w:name w:val="Intense Emphasis"/>
    <w:uiPriority w:val="21"/>
    <w:qFormat/>
    <w:rsid w:val="00BC7A50"/>
    <w:rPr>
      <w:b/>
      <w:bCs/>
    </w:rPr>
  </w:style>
  <w:style w:type="character" w:styleId="Strong">
    <w:name w:val="Strong"/>
    <w:uiPriority w:val="22"/>
    <w:qFormat/>
    <w:rsid w:val="00BC7A50"/>
    <w:rPr>
      <w:b/>
      <w:bCs/>
    </w:rPr>
  </w:style>
  <w:style w:type="paragraph" w:styleId="ListParagraph">
    <w:name w:val="List Paragraph"/>
    <w:basedOn w:val="Normal"/>
    <w:uiPriority w:val="34"/>
    <w:qFormat/>
    <w:rsid w:val="00BC7A5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C7A50"/>
    <w:pPr>
      <w:spacing w:after="0" w:line="240" w:lineRule="auto"/>
    </w:pPr>
    <w:rPr>
      <w:rFonts w:ascii="Consolas" w:eastAsiaTheme="minorHAnsi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C7A50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1205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6EB2"/>
    <w:pPr>
      <w:spacing w:after="0" w:line="240" w:lineRule="auto"/>
    </w:pPr>
    <w:rPr>
      <w:rFonts w:eastAsiaTheme="minorHAnsi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E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6E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5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98B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98B"/>
    <w:rPr>
      <w:rFonts w:eastAsiaTheme="minorEastAsia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mc-support@u.washington.edu" TargetMode="External"/><Relationship Id="rId1" Type="http://schemas.openxmlformats.org/officeDocument/2006/relationships/hyperlink" Target="https://www.washington.edu/provost/oim/dm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374AA535D554AA0CDDA06E48C459E" ma:contentTypeVersion="2" ma:contentTypeDescription="Create a new document." ma:contentTypeScope="" ma:versionID="75349668e0f9ce8ae663d61327131a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47c47508afc92236d38e5f32d789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F201-7778-4A40-9622-35076540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85DE2-6DF4-4644-8584-92E95E6734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979A81-4472-4BF1-88A7-36D13C58F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CB598-1A8A-404F-9E56-1A299293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Bart Pietrzak</cp:lastModifiedBy>
  <cp:revision>5</cp:revision>
  <cp:lastPrinted>2015-03-26T21:11:00Z</cp:lastPrinted>
  <dcterms:created xsi:type="dcterms:W3CDTF">2015-04-24T18:38:00Z</dcterms:created>
  <dcterms:modified xsi:type="dcterms:W3CDTF">2015-04-28T18:47:00Z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0x01010071A374AA535D554AA0CDDA06E48C459E</vt:lpwstr>
  </property>
</Properties>
</file>